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08" w:rsidRPr="00F70D37" w:rsidRDefault="003F0F08" w:rsidP="000B5499">
      <w:pPr>
        <w:jc w:val="center"/>
        <w:rPr>
          <w:b/>
        </w:rPr>
      </w:pPr>
      <w:r w:rsidRPr="00F70D37">
        <w:rPr>
          <w:b/>
        </w:rPr>
        <w:t xml:space="preserve">ATTACHMENT </w:t>
      </w:r>
      <w:r w:rsidR="002E3A70" w:rsidRPr="00F70D37">
        <w:rPr>
          <w:b/>
        </w:rPr>
        <w:t>A</w:t>
      </w:r>
    </w:p>
    <w:p w:rsidR="008B0EEC" w:rsidRPr="00F70D37" w:rsidRDefault="00B33EF5" w:rsidP="000B5499">
      <w:pPr>
        <w:jc w:val="center"/>
        <w:rPr>
          <w:b/>
        </w:rPr>
      </w:pPr>
      <w:r w:rsidRPr="00F70D37">
        <w:rPr>
          <w:b/>
        </w:rPr>
        <w:t>CENTRAL SUBWAY PROJECT</w:t>
      </w:r>
      <w:r w:rsidR="008E46B0" w:rsidRPr="00F70D37">
        <w:rPr>
          <w:b/>
        </w:rPr>
        <w:t xml:space="preserve">: </w:t>
      </w:r>
      <w:r w:rsidR="00010146" w:rsidRPr="00F70D37">
        <w:rPr>
          <w:b/>
        </w:rPr>
        <w:t>Project Overview and Map</w:t>
      </w:r>
    </w:p>
    <w:p w:rsidR="00BA74CB" w:rsidRPr="00F70D37" w:rsidRDefault="00BA74CB" w:rsidP="000B5499">
      <w:pPr>
        <w:jc w:val="center"/>
        <w:rPr>
          <w:b/>
        </w:rPr>
      </w:pPr>
    </w:p>
    <w:p w:rsidR="00010146" w:rsidRPr="00F70D37" w:rsidRDefault="00010146" w:rsidP="00987EFF">
      <w:pPr>
        <w:pBdr>
          <w:top w:val="single" w:sz="4" w:space="1" w:color="auto"/>
        </w:pBdr>
        <w:tabs>
          <w:tab w:val="left" w:pos="3600"/>
        </w:tabs>
        <w:spacing w:before="120" w:after="120"/>
      </w:pPr>
      <w:r w:rsidRPr="00F70D37">
        <w:rPr>
          <w:b/>
        </w:rPr>
        <w:t>Date:</w:t>
      </w:r>
      <w:r w:rsidRPr="00F70D37">
        <w:tab/>
      </w:r>
      <w:r w:rsidR="00FC03D3">
        <w:t>December 31</w:t>
      </w:r>
      <w:r w:rsidR="00B33EF5" w:rsidRPr="00F70D37">
        <w:t xml:space="preserve">, </w:t>
      </w:r>
      <w:r w:rsidR="00F13A1E" w:rsidRPr="00F70D37">
        <w:t>201</w:t>
      </w:r>
      <w:r w:rsidR="00B40D8F" w:rsidRPr="00F70D37">
        <w:t>3</w:t>
      </w:r>
    </w:p>
    <w:p w:rsidR="00010146" w:rsidRPr="00F70D37" w:rsidRDefault="00010146" w:rsidP="00987EFF">
      <w:pPr>
        <w:tabs>
          <w:tab w:val="left" w:pos="3600"/>
        </w:tabs>
        <w:spacing w:after="120"/>
        <w:ind w:left="3600" w:right="-450" w:hanging="3600"/>
      </w:pPr>
      <w:r w:rsidRPr="00F70D37">
        <w:t>Project Name:</w:t>
      </w:r>
      <w:r w:rsidRPr="00F70D37">
        <w:tab/>
      </w:r>
      <w:r w:rsidR="00B33EF5" w:rsidRPr="00F70D37">
        <w:rPr>
          <w:color w:val="000000"/>
        </w:rPr>
        <w:t>Central Subway Project (CSP)</w:t>
      </w:r>
      <w:r w:rsidRPr="00F70D37">
        <w:rPr>
          <w:color w:val="000000"/>
        </w:rPr>
        <w:t xml:space="preserve"> </w:t>
      </w:r>
      <w:r w:rsidR="003B2FE1" w:rsidRPr="00F70D37">
        <w:rPr>
          <w:color w:val="000000"/>
        </w:rPr>
        <w:t xml:space="preserve">New Starts </w:t>
      </w:r>
      <w:r w:rsidR="00FC3A06" w:rsidRPr="00F70D37">
        <w:rPr>
          <w:color w:val="000000"/>
        </w:rPr>
        <w:t>Light Rail Transit</w:t>
      </w:r>
    </w:p>
    <w:p w:rsidR="00010146" w:rsidRPr="00F70D37" w:rsidRDefault="00010146" w:rsidP="00987EFF">
      <w:pPr>
        <w:tabs>
          <w:tab w:val="left" w:pos="3600"/>
        </w:tabs>
        <w:spacing w:after="120"/>
      </w:pPr>
      <w:r w:rsidRPr="00F70D37">
        <w:t>Grantee:</w:t>
      </w:r>
      <w:r w:rsidRPr="00F70D37">
        <w:tab/>
      </w:r>
      <w:r w:rsidR="00B33EF5" w:rsidRPr="00F70D37">
        <w:rPr>
          <w:color w:val="000000"/>
        </w:rPr>
        <w:t>San Francisco Municipal Transportation Agency (SFMTA)</w:t>
      </w:r>
    </w:p>
    <w:p w:rsidR="00B33EF5" w:rsidRPr="00F70D37" w:rsidRDefault="00010146" w:rsidP="00987EFF">
      <w:pPr>
        <w:tabs>
          <w:tab w:val="left" w:pos="3600"/>
        </w:tabs>
        <w:spacing w:after="120"/>
      </w:pPr>
      <w:r w:rsidRPr="00F70D37">
        <w:t>FTA Regional contact:</w:t>
      </w:r>
      <w:r w:rsidRPr="00F70D37">
        <w:tab/>
      </w:r>
      <w:r w:rsidR="00B33EF5" w:rsidRPr="00F70D37">
        <w:t xml:space="preserve">Mr. Jeffrey S. Davis </w:t>
      </w:r>
    </w:p>
    <w:p w:rsidR="00BA74CB" w:rsidRPr="00F70D37" w:rsidRDefault="006705C6" w:rsidP="00987EFF">
      <w:pPr>
        <w:tabs>
          <w:tab w:val="left" w:pos="3600"/>
        </w:tabs>
      </w:pPr>
      <w:r w:rsidRPr="00F70D37">
        <w:t>FTA Headquarters contact</w:t>
      </w:r>
      <w:r w:rsidR="00BA74CB" w:rsidRPr="00F70D37">
        <w:t xml:space="preserve">: </w:t>
      </w:r>
      <w:r w:rsidR="00BA74CB" w:rsidRPr="00F70D37">
        <w:tab/>
      </w:r>
      <w:r w:rsidR="007A3E2D" w:rsidRPr="00F70D37">
        <w:t>Ms. Kim Nguyen</w:t>
      </w:r>
    </w:p>
    <w:p w:rsidR="00280F08" w:rsidRPr="00F70D37" w:rsidRDefault="00280F08" w:rsidP="007A68DF">
      <w:pPr>
        <w:tabs>
          <w:tab w:val="left" w:pos="3600"/>
        </w:tabs>
      </w:pPr>
    </w:p>
    <w:p w:rsidR="004E6A42" w:rsidRPr="00F70D37" w:rsidRDefault="004E6A42" w:rsidP="007A68DF">
      <w:pPr>
        <w:ind w:right="-720"/>
        <w:rPr>
          <w:b/>
        </w:rPr>
      </w:pPr>
      <w:r w:rsidRPr="00F70D37">
        <w:rPr>
          <w:b/>
        </w:rPr>
        <w:t>Scope</w:t>
      </w:r>
    </w:p>
    <w:p w:rsidR="00C37BB6" w:rsidRPr="00F70D37" w:rsidRDefault="008E46B0" w:rsidP="00987EFF">
      <w:pPr>
        <w:tabs>
          <w:tab w:val="left" w:pos="2160"/>
        </w:tabs>
        <w:spacing w:after="120"/>
        <w:ind w:left="2160" w:hanging="2160"/>
        <w:jc w:val="both"/>
      </w:pPr>
      <w:r w:rsidRPr="00F70D37">
        <w:t>Description:</w:t>
      </w:r>
      <w:r w:rsidRPr="00F70D37">
        <w:tab/>
      </w:r>
      <w:r w:rsidR="00FC3A06" w:rsidRPr="00F70D37">
        <w:t>The CSP would extend the Third Street Light Rail line from the Caltrain station at Fourth and King Streets to Chinatown.  It was incorporated in the FEIS/FEIR on the Third Street Light Rail project published in December 1998</w:t>
      </w:r>
      <w:r w:rsidR="00DF38B1" w:rsidRPr="00F70D37">
        <w:t>, but</w:t>
      </w:r>
      <w:r w:rsidR="00FC3A06" w:rsidRPr="00F70D37">
        <w:t xml:space="preserve"> FTA did not include the CS</w:t>
      </w:r>
      <w:r w:rsidR="003C3401" w:rsidRPr="00F70D37">
        <w:t>P</w:t>
      </w:r>
      <w:r w:rsidR="00FC3A06" w:rsidRPr="00F70D37">
        <w:t xml:space="preserve"> in the Record of Decision (ROD) issued in March 1999.  </w:t>
      </w:r>
      <w:r w:rsidR="00DF38B1" w:rsidRPr="00F70D37">
        <w:t>An ROD for the CSP, however, was issued by FTA on November 26, 2008, and the U.S. Department of Transportation and FTA determined that the requirements of the National Environmental Policy Act (NEPA) of 1969 were satisfied for the CSP.  The environmental record for the CSP is included in the Final Supplemental Environmental Impact Statement (SEIS), Volume II, dated July 11, 2008 and the Final SEIS, Volume I, dated September 23, 2008.  These documents present the d</w:t>
      </w:r>
      <w:bookmarkStart w:id="0" w:name="_GoBack"/>
      <w:bookmarkEnd w:id="0"/>
      <w:r w:rsidR="00DF38B1" w:rsidRPr="00F70D37">
        <w:t xml:space="preserve">etailed statement required by NEPA and </w:t>
      </w:r>
      <w:proofErr w:type="gramStart"/>
      <w:r w:rsidR="00DF38B1" w:rsidRPr="00F70D37">
        <w:t>U.S.C. 5324 (b).</w:t>
      </w:r>
      <w:proofErr w:type="gramEnd"/>
      <w:r w:rsidR="00DF38B1" w:rsidRPr="00F70D37">
        <w:t xml:space="preserve"> </w:t>
      </w:r>
      <w:r w:rsidR="00FC3A06" w:rsidRPr="00F70D37">
        <w:t xml:space="preserve">SFMTA requested authority to enter Preliminary Engineering (PE) in March 2002 and submitted a Project Management Plan (PMP) in June 2002.  FTA approved entry into PE in July 2002.  Approval to enter Final Design (FD) was granted by FTA on </w:t>
      </w:r>
      <w:r w:rsidR="003B2FE1" w:rsidRPr="00F70D37">
        <w:t>January 7, 2010</w:t>
      </w:r>
      <w:r w:rsidR="00FC3A06" w:rsidRPr="00F70D37">
        <w:t>.</w:t>
      </w:r>
      <w:r w:rsidR="00BB7680" w:rsidRPr="00F70D37">
        <w:t xml:space="preserve"> The Full Funding Grant Agreement (FFGA) was signed on October 11, 2012</w:t>
      </w:r>
    </w:p>
    <w:p w:rsidR="00C37BB6" w:rsidRPr="00F70D37" w:rsidRDefault="00C37BB6" w:rsidP="007A68DF">
      <w:pPr>
        <w:tabs>
          <w:tab w:val="left" w:pos="2160"/>
        </w:tabs>
        <w:spacing w:after="120"/>
        <w:ind w:left="2160" w:right="-720" w:hanging="2160"/>
      </w:pPr>
      <w:proofErr w:type="spellStart"/>
      <w:r w:rsidRPr="00F70D37">
        <w:t>Guideway</w:t>
      </w:r>
      <w:proofErr w:type="spellEnd"/>
      <w:r w:rsidRPr="00F70D37">
        <w:t>:</w:t>
      </w:r>
      <w:r w:rsidRPr="00F70D37">
        <w:tab/>
      </w:r>
      <w:r w:rsidR="005610C8" w:rsidRPr="00F70D37">
        <w:t>The length of the CS</w:t>
      </w:r>
      <w:r w:rsidR="003C3401" w:rsidRPr="00F70D37">
        <w:t>P</w:t>
      </w:r>
      <w:r w:rsidR="005610C8" w:rsidRPr="00F70D37">
        <w:t xml:space="preserve"> would be 1.7 miles of double-tracked line.</w:t>
      </w:r>
    </w:p>
    <w:p w:rsidR="00C37BB6" w:rsidRPr="00F70D37" w:rsidRDefault="00C37BB6" w:rsidP="007A68DF">
      <w:pPr>
        <w:tabs>
          <w:tab w:val="left" w:pos="2160"/>
        </w:tabs>
        <w:spacing w:after="120"/>
        <w:ind w:left="2160" w:hanging="2160"/>
      </w:pPr>
      <w:r w:rsidRPr="00F70D37">
        <w:t>Stations:</w:t>
      </w:r>
      <w:r w:rsidRPr="00F70D37">
        <w:tab/>
      </w:r>
      <w:r w:rsidR="005610C8" w:rsidRPr="00F70D37">
        <w:t>The CS</w:t>
      </w:r>
      <w:r w:rsidR="003C3401" w:rsidRPr="00F70D37">
        <w:t>P</w:t>
      </w:r>
      <w:r w:rsidR="005610C8" w:rsidRPr="00F70D37">
        <w:t xml:space="preserve"> includes three subway stations and one surface station.</w:t>
      </w:r>
    </w:p>
    <w:p w:rsidR="00C37BB6" w:rsidRPr="00F70D37" w:rsidRDefault="0009777D" w:rsidP="007A68DF">
      <w:pPr>
        <w:tabs>
          <w:tab w:val="left" w:pos="2160"/>
        </w:tabs>
        <w:spacing w:after="120"/>
        <w:ind w:left="2160" w:hanging="2160"/>
      </w:pPr>
      <w:r w:rsidRPr="00F70D37">
        <w:t>Additional Facilities:  The CS</w:t>
      </w:r>
      <w:r w:rsidR="003C3401" w:rsidRPr="00F70D37">
        <w:t>P</w:t>
      </w:r>
      <w:r w:rsidRPr="00F70D37">
        <w:t xml:space="preserve"> does not include any ancillary facilities.</w:t>
      </w:r>
      <w:r w:rsidR="008E46B0" w:rsidRPr="00F70D37">
        <w:tab/>
      </w:r>
    </w:p>
    <w:p w:rsidR="00A510CA" w:rsidRPr="00F70D37" w:rsidRDefault="00C37BB6" w:rsidP="007A68DF">
      <w:pPr>
        <w:tabs>
          <w:tab w:val="left" w:pos="2160"/>
        </w:tabs>
        <w:spacing w:after="120"/>
        <w:ind w:left="2160" w:hanging="2160"/>
      </w:pPr>
      <w:r w:rsidRPr="00F70D37">
        <w:t>Vehicles:</w:t>
      </w:r>
      <w:r w:rsidRPr="00F70D37">
        <w:tab/>
      </w:r>
      <w:r w:rsidR="00DE5CB0" w:rsidRPr="00F70D37">
        <w:t>T</w:t>
      </w:r>
      <w:r w:rsidR="00AC1F2E" w:rsidRPr="00F70D37">
        <w:t>he CS</w:t>
      </w:r>
      <w:r w:rsidR="003C3401" w:rsidRPr="00F70D37">
        <w:t>P</w:t>
      </w:r>
      <w:r w:rsidR="00AC1F2E" w:rsidRPr="00F70D37">
        <w:t xml:space="preserve"> Service Plan dated October 2009 clarified that</w:t>
      </w:r>
      <w:r w:rsidR="00FE62A2" w:rsidRPr="00F70D37">
        <w:t xml:space="preserve"> approximately four vehicles will be required.</w:t>
      </w:r>
    </w:p>
    <w:p w:rsidR="00C37BB6" w:rsidRPr="00F70D37" w:rsidRDefault="00C37BB6" w:rsidP="007A68DF">
      <w:pPr>
        <w:ind w:right="-720"/>
      </w:pPr>
    </w:p>
    <w:p w:rsidR="00AC1F2E" w:rsidRPr="00F70D37" w:rsidRDefault="003B1432" w:rsidP="007A68DF">
      <w:pPr>
        <w:pStyle w:val="Default"/>
      </w:pPr>
      <w:r w:rsidRPr="00F70D37">
        <w:t>Ridership</w:t>
      </w:r>
      <w:r w:rsidR="008A5510" w:rsidRPr="00F70D37">
        <w:t>:</w:t>
      </w:r>
      <w:r w:rsidRPr="00F70D37">
        <w:t xml:space="preserve"> </w:t>
      </w:r>
      <w:r w:rsidRPr="00F70D37">
        <w:tab/>
      </w:r>
      <w:r w:rsidR="00AC1F2E" w:rsidRPr="00F70D37">
        <w:tab/>
      </w:r>
      <w:r w:rsidR="008F029B" w:rsidRPr="00F70D37">
        <w:t>43,521</w:t>
      </w:r>
      <w:r w:rsidR="00AC1F2E" w:rsidRPr="00F70D37">
        <w:t xml:space="preserve"> Average Weekday Boardings </w:t>
      </w:r>
      <w:r w:rsidR="007E3267" w:rsidRPr="00F70D37">
        <w:t xml:space="preserve">are </w:t>
      </w:r>
      <w:r w:rsidR="00AC1F2E" w:rsidRPr="00F70D37">
        <w:t>projected in 2030.</w:t>
      </w:r>
    </w:p>
    <w:p w:rsidR="003B1432" w:rsidRPr="00F70D37" w:rsidRDefault="003B1432" w:rsidP="007A68DF">
      <w:pPr>
        <w:tabs>
          <w:tab w:val="left" w:pos="2160"/>
        </w:tabs>
        <w:spacing w:after="120"/>
        <w:ind w:left="2160" w:hanging="2160"/>
      </w:pPr>
    </w:p>
    <w:p w:rsidR="00DC0BF4" w:rsidRPr="00F70D37" w:rsidRDefault="00DC0BF4" w:rsidP="007A68DF">
      <w:pPr>
        <w:ind w:right="-720"/>
        <w:rPr>
          <w:b/>
        </w:rPr>
      </w:pPr>
      <w:r w:rsidRPr="00F70D37">
        <w:rPr>
          <w:b/>
        </w:rPr>
        <w:t>Schedule</w:t>
      </w:r>
    </w:p>
    <w:p w:rsidR="00DC0BF4" w:rsidRPr="00F70D37" w:rsidRDefault="00C409D2" w:rsidP="007A68DF">
      <w:pPr>
        <w:tabs>
          <w:tab w:val="left" w:pos="900"/>
          <w:tab w:val="left" w:pos="4320"/>
          <w:tab w:val="left" w:pos="5220"/>
        </w:tabs>
        <w:ind w:right="-720"/>
      </w:pPr>
      <w:r w:rsidRPr="00F70D37">
        <w:t>0</w:t>
      </w:r>
      <w:r w:rsidR="005610C8" w:rsidRPr="00F70D37">
        <w:t>7</w:t>
      </w:r>
      <w:r w:rsidR="00DC0BF4" w:rsidRPr="00F70D37">
        <w:t>/0</w:t>
      </w:r>
      <w:r w:rsidR="005610C8" w:rsidRPr="00F70D37">
        <w:t>2</w:t>
      </w:r>
      <w:r w:rsidR="00DC0BF4" w:rsidRPr="00F70D37">
        <w:tab/>
        <w:t>Approval Entry to PE</w:t>
      </w:r>
      <w:r w:rsidR="00DC0BF4" w:rsidRPr="00F70D37">
        <w:tab/>
      </w:r>
      <w:r w:rsidR="00D40723" w:rsidRPr="00F70D37">
        <w:t>2016</w:t>
      </w:r>
      <w:r w:rsidR="00DC0BF4" w:rsidRPr="00F70D37">
        <w:tab/>
        <w:t>Estimated Rev Ops at Entry to PE</w:t>
      </w:r>
    </w:p>
    <w:p w:rsidR="00DC0BF4" w:rsidRPr="00F70D37" w:rsidRDefault="00C409D2" w:rsidP="007A68DF">
      <w:pPr>
        <w:tabs>
          <w:tab w:val="left" w:pos="900"/>
          <w:tab w:val="left" w:pos="4320"/>
          <w:tab w:val="left" w:pos="5220"/>
        </w:tabs>
        <w:ind w:right="-720"/>
      </w:pPr>
      <w:r w:rsidRPr="00F70D37">
        <w:t>0</w:t>
      </w:r>
      <w:r w:rsidR="005610C8" w:rsidRPr="00F70D37">
        <w:t>1</w:t>
      </w:r>
      <w:r w:rsidR="00DC0BF4" w:rsidRPr="00F70D37">
        <w:t>/</w:t>
      </w:r>
      <w:r w:rsidR="005610C8" w:rsidRPr="00F70D37">
        <w:t>10</w:t>
      </w:r>
      <w:r w:rsidR="00DC0BF4" w:rsidRPr="00F70D37">
        <w:tab/>
        <w:t>Approval Entry to FD</w:t>
      </w:r>
      <w:r w:rsidR="00DC0BF4" w:rsidRPr="00F70D37">
        <w:tab/>
      </w:r>
      <w:r w:rsidR="00D40723" w:rsidRPr="00F70D37">
        <w:t>2018</w:t>
      </w:r>
      <w:r w:rsidR="00DC0BF4" w:rsidRPr="00F70D37">
        <w:tab/>
        <w:t>Estimated Rev Ops at Entry to FD</w:t>
      </w:r>
    </w:p>
    <w:p w:rsidR="00DC0BF4" w:rsidRPr="00F70D37" w:rsidRDefault="00A05C40" w:rsidP="007A68DF">
      <w:pPr>
        <w:tabs>
          <w:tab w:val="left" w:pos="900"/>
          <w:tab w:val="left" w:pos="4320"/>
          <w:tab w:val="left" w:pos="5220"/>
        </w:tabs>
        <w:ind w:right="-720"/>
      </w:pPr>
      <w:r w:rsidRPr="00F70D37">
        <w:t>10</w:t>
      </w:r>
      <w:r w:rsidR="000B1020" w:rsidRPr="00F70D37">
        <w:t>/</w:t>
      </w:r>
      <w:r w:rsidR="00BB7680" w:rsidRPr="00F70D37">
        <w:t>11/</w:t>
      </w:r>
      <w:r w:rsidR="000B1020" w:rsidRPr="00F70D37">
        <w:t>12</w:t>
      </w:r>
      <w:r w:rsidR="00D723CC" w:rsidRPr="00F70D37">
        <w:tab/>
      </w:r>
      <w:r w:rsidR="00BB7680" w:rsidRPr="00F70D37">
        <w:t xml:space="preserve">   </w:t>
      </w:r>
      <w:r w:rsidR="00DC0BF4" w:rsidRPr="00F70D37">
        <w:t xml:space="preserve">FFGA </w:t>
      </w:r>
      <w:r w:rsidR="00DC0BF4" w:rsidRPr="00F70D37">
        <w:tab/>
      </w:r>
      <w:r w:rsidR="00BB7680" w:rsidRPr="00F70D37">
        <w:t>2018</w:t>
      </w:r>
      <w:r w:rsidR="00DC0BF4" w:rsidRPr="00F70D37">
        <w:tab/>
        <w:t>Estimated Rev Ops at FFGA</w:t>
      </w:r>
    </w:p>
    <w:p w:rsidR="00DC0BF4" w:rsidRPr="00F70D37" w:rsidRDefault="007A484A" w:rsidP="007A68DF">
      <w:pPr>
        <w:tabs>
          <w:tab w:val="left" w:pos="900"/>
          <w:tab w:val="left" w:pos="4320"/>
          <w:tab w:val="left" w:pos="5040"/>
        </w:tabs>
        <w:ind w:right="-720"/>
      </w:pPr>
      <w:r w:rsidRPr="00F70D37">
        <w:t>12/18</w:t>
      </w:r>
      <w:r w:rsidR="00DC0BF4" w:rsidRPr="00F70D37">
        <w:tab/>
      </w:r>
      <w:r w:rsidR="00995F67" w:rsidRPr="00F70D37">
        <w:t>Revenue Operations Date at date of this report</w:t>
      </w:r>
    </w:p>
    <w:p w:rsidR="00995F67" w:rsidRPr="00F70D37" w:rsidRDefault="00980FC0" w:rsidP="007A68DF">
      <w:pPr>
        <w:tabs>
          <w:tab w:val="left" w:pos="900"/>
          <w:tab w:val="left" w:pos="4320"/>
          <w:tab w:val="left" w:pos="5040"/>
        </w:tabs>
        <w:ind w:right="-720"/>
      </w:pPr>
      <w:r>
        <w:t>2</w:t>
      </w:r>
      <w:r w:rsidR="00FC03D3">
        <w:t>1</w:t>
      </w:r>
      <w:r w:rsidR="00066AA4" w:rsidRPr="00F70D37">
        <w:t>%</w:t>
      </w:r>
      <w:r w:rsidR="00066AA4" w:rsidRPr="00F70D37">
        <w:tab/>
      </w:r>
      <w:r w:rsidR="00066AA4" w:rsidRPr="00F70D37">
        <w:rPr>
          <w:i/>
        </w:rPr>
        <w:t>Percent Complete</w:t>
      </w:r>
      <w:r w:rsidR="00066AA4" w:rsidRPr="00F70D37">
        <w:t xml:space="preserve"> Construction (</w:t>
      </w:r>
      <w:r w:rsidR="00FC03D3">
        <w:t>December</w:t>
      </w:r>
      <w:r w:rsidR="009B63F1" w:rsidRPr="00F70D37">
        <w:t xml:space="preserve"> </w:t>
      </w:r>
      <w:r w:rsidR="00F251D3" w:rsidRPr="00F70D37">
        <w:t>201</w:t>
      </w:r>
      <w:r w:rsidR="009B63F1" w:rsidRPr="00F70D37">
        <w:t>3</w:t>
      </w:r>
      <w:r w:rsidR="00F251D3" w:rsidRPr="00F70D37">
        <w:t xml:space="preserve"> data)</w:t>
      </w:r>
      <w:r w:rsidR="00C941E8" w:rsidRPr="00F70D37">
        <w:t xml:space="preserve"> </w:t>
      </w:r>
    </w:p>
    <w:p w:rsidR="00DC0BF4" w:rsidRPr="00F70D37" w:rsidRDefault="00DC0BF4" w:rsidP="00DC0BF4">
      <w:pPr>
        <w:tabs>
          <w:tab w:val="left" w:pos="720"/>
          <w:tab w:val="left" w:pos="4320"/>
          <w:tab w:val="left" w:pos="5040"/>
        </w:tabs>
        <w:ind w:right="-720"/>
        <w:jc w:val="both"/>
      </w:pPr>
    </w:p>
    <w:p w:rsidR="003F18C1" w:rsidRPr="00F70D37" w:rsidRDefault="003F18C1" w:rsidP="007A68DF">
      <w:pPr>
        <w:ind w:right="-720"/>
        <w:rPr>
          <w:b/>
        </w:rPr>
      </w:pPr>
      <w:r w:rsidRPr="00F70D37">
        <w:rPr>
          <w:b/>
        </w:rPr>
        <w:t>Cost</w:t>
      </w:r>
    </w:p>
    <w:p w:rsidR="00DC0BF4" w:rsidRPr="00F70D37" w:rsidRDefault="003F18C1" w:rsidP="007A68DF">
      <w:pPr>
        <w:tabs>
          <w:tab w:val="left" w:pos="1800"/>
          <w:tab w:val="left" w:pos="4320"/>
          <w:tab w:val="left" w:pos="5220"/>
        </w:tabs>
        <w:ind w:right="-720"/>
      </w:pPr>
      <w:r w:rsidRPr="00F70D37">
        <w:t>$</w:t>
      </w:r>
      <w:r w:rsidR="00473974" w:rsidRPr="00F70D37">
        <w:t>764 million</w:t>
      </w:r>
      <w:r w:rsidRPr="00F70D37">
        <w:tab/>
        <w:t>Total Project Cost ($YOE) at Approval Entry to PE</w:t>
      </w:r>
    </w:p>
    <w:p w:rsidR="003F18C1" w:rsidRPr="00F70D37" w:rsidRDefault="00473974" w:rsidP="007A68DF">
      <w:pPr>
        <w:tabs>
          <w:tab w:val="left" w:pos="1800"/>
          <w:tab w:val="left" w:pos="4320"/>
          <w:tab w:val="left" w:pos="5220"/>
        </w:tabs>
        <w:ind w:right="-720"/>
      </w:pPr>
      <w:r w:rsidRPr="00F70D37">
        <w:t>$1,578 million</w:t>
      </w:r>
      <w:r w:rsidR="003F18C1" w:rsidRPr="00F70D37">
        <w:tab/>
        <w:t>Total Project Cost ($YOE) at Approval Entry to FD</w:t>
      </w:r>
    </w:p>
    <w:p w:rsidR="003F18C1" w:rsidRPr="00F70D37" w:rsidRDefault="003F18C1" w:rsidP="007A68DF">
      <w:pPr>
        <w:tabs>
          <w:tab w:val="left" w:pos="1800"/>
          <w:tab w:val="left" w:pos="4320"/>
          <w:tab w:val="left" w:pos="5220"/>
        </w:tabs>
        <w:ind w:right="-720"/>
      </w:pPr>
      <w:r w:rsidRPr="00F70D37">
        <w:t>$</w:t>
      </w:r>
      <w:r w:rsidR="00BB7680" w:rsidRPr="00F70D37">
        <w:t xml:space="preserve">1,578 </w:t>
      </w:r>
      <w:r w:rsidR="00473974" w:rsidRPr="00F70D37">
        <w:t>million</w:t>
      </w:r>
      <w:r w:rsidRPr="00F70D37">
        <w:tab/>
        <w:t>Total Project Cost ($YOE) at FFGA signed</w:t>
      </w:r>
    </w:p>
    <w:p w:rsidR="003F18C1" w:rsidRPr="00F70D37" w:rsidRDefault="00473974" w:rsidP="007A68DF">
      <w:pPr>
        <w:tabs>
          <w:tab w:val="left" w:pos="1800"/>
          <w:tab w:val="left" w:pos="4320"/>
          <w:tab w:val="left" w:pos="5220"/>
        </w:tabs>
        <w:ind w:right="-720"/>
      </w:pPr>
      <w:r w:rsidRPr="00F70D37">
        <w:t>$TBD million</w:t>
      </w:r>
      <w:r w:rsidR="003F18C1" w:rsidRPr="00F70D37">
        <w:tab/>
        <w:t>Total Project Cost ($YOE) at Revenue Operations</w:t>
      </w:r>
    </w:p>
    <w:p w:rsidR="003F18C1" w:rsidRPr="00F70D37" w:rsidRDefault="003F18C1" w:rsidP="007A68DF">
      <w:pPr>
        <w:tabs>
          <w:tab w:val="left" w:pos="1260"/>
          <w:tab w:val="left" w:pos="4320"/>
          <w:tab w:val="left" w:pos="5220"/>
        </w:tabs>
        <w:ind w:right="-720"/>
      </w:pPr>
    </w:p>
    <w:p w:rsidR="003F18C1" w:rsidRPr="00F70D37" w:rsidRDefault="00354307" w:rsidP="007A68DF">
      <w:pPr>
        <w:tabs>
          <w:tab w:val="left" w:pos="1800"/>
          <w:tab w:val="left" w:pos="4320"/>
          <w:tab w:val="left" w:pos="5220"/>
        </w:tabs>
        <w:ind w:right="-720"/>
      </w:pPr>
      <w:r w:rsidRPr="00F70D37">
        <w:t>$1,578 million</w:t>
      </w:r>
      <w:r w:rsidR="003F18C1" w:rsidRPr="00F70D37">
        <w:tab/>
        <w:t>Total Project Cost ($YOE) at date of this report including $</w:t>
      </w:r>
      <w:r w:rsidR="00FE62A2" w:rsidRPr="00F70D37">
        <w:t>0.00</w:t>
      </w:r>
      <w:r w:rsidR="003F18C1" w:rsidRPr="00F70D37">
        <w:t xml:space="preserve"> in Finance Charges</w:t>
      </w:r>
    </w:p>
    <w:p w:rsidR="003F18C1" w:rsidRPr="00F70D37" w:rsidRDefault="003F18C1" w:rsidP="007A68DF">
      <w:pPr>
        <w:tabs>
          <w:tab w:val="left" w:pos="1800"/>
          <w:tab w:val="left" w:pos="4320"/>
          <w:tab w:val="left" w:pos="5220"/>
        </w:tabs>
        <w:ind w:left="1980" w:right="-720" w:hanging="1980"/>
      </w:pPr>
      <w:r w:rsidRPr="00F70D37">
        <w:t>$</w:t>
      </w:r>
      <w:r w:rsidR="00632A91" w:rsidRPr="00F70D37">
        <w:t>4</w:t>
      </w:r>
      <w:r w:rsidR="00FC03D3">
        <w:t>60.1</w:t>
      </w:r>
      <w:r w:rsidR="00354307" w:rsidRPr="00F70D37">
        <w:t xml:space="preserve"> million</w:t>
      </w:r>
      <w:r w:rsidRPr="00F70D37">
        <w:tab/>
        <w:t>Amount of Expenditures at date of this report from Total Project Budget of $</w:t>
      </w:r>
      <w:r w:rsidR="00354307" w:rsidRPr="00F70D37">
        <w:t>1,578 million</w:t>
      </w:r>
    </w:p>
    <w:p w:rsidR="003F18C1" w:rsidRPr="00F70D37" w:rsidRDefault="00807931" w:rsidP="007A68DF">
      <w:pPr>
        <w:tabs>
          <w:tab w:val="left" w:pos="1800"/>
          <w:tab w:val="left" w:pos="4320"/>
          <w:tab w:val="left" w:pos="5220"/>
        </w:tabs>
        <w:ind w:right="-720"/>
      </w:pPr>
      <w:r w:rsidRPr="00F70D37">
        <w:t>2</w:t>
      </w:r>
      <w:r w:rsidR="00FC03D3">
        <w:t>9.2</w:t>
      </w:r>
      <w:r w:rsidR="009604C5" w:rsidRPr="00F70D37">
        <w:t>%</w:t>
      </w:r>
      <w:r w:rsidR="003F18C1" w:rsidRPr="00F70D37">
        <w:tab/>
        <w:t>Percent Complete based on Expenditures at date of this report</w:t>
      </w:r>
    </w:p>
    <w:p w:rsidR="003F18C1" w:rsidRPr="00F70D37" w:rsidRDefault="003F18C1" w:rsidP="007A68DF">
      <w:pPr>
        <w:tabs>
          <w:tab w:val="left" w:pos="1800"/>
          <w:tab w:val="left" w:pos="4320"/>
          <w:tab w:val="left" w:pos="5220"/>
        </w:tabs>
        <w:ind w:right="-720"/>
      </w:pPr>
      <w:r w:rsidRPr="00F70D37">
        <w:t>$</w:t>
      </w:r>
      <w:r w:rsidR="00980FC0">
        <w:t>3.88</w:t>
      </w:r>
      <w:r w:rsidR="00354307" w:rsidRPr="00F70D37">
        <w:t xml:space="preserve"> million</w:t>
      </w:r>
      <w:r w:rsidRPr="00F70D37">
        <w:tab/>
      </w:r>
      <w:r w:rsidR="00BA74CB" w:rsidRPr="00F70D37">
        <w:t xml:space="preserve">Unallocated </w:t>
      </w:r>
      <w:r w:rsidRPr="00F70D37">
        <w:t xml:space="preserve">Contingency remaining </w:t>
      </w:r>
    </w:p>
    <w:p w:rsidR="00BA74CB" w:rsidRPr="00632A91" w:rsidRDefault="007C2AA0" w:rsidP="007A68DF">
      <w:pPr>
        <w:tabs>
          <w:tab w:val="left" w:pos="1800"/>
        </w:tabs>
        <w:ind w:left="1800" w:hanging="1800"/>
      </w:pPr>
      <w:r w:rsidRPr="00F70D37">
        <w:t>$</w:t>
      </w:r>
      <w:r w:rsidR="00FC03D3">
        <w:t>71.3</w:t>
      </w:r>
      <w:r w:rsidR="00553E17" w:rsidRPr="00F70D37">
        <w:rPr>
          <w:bCs/>
        </w:rPr>
        <w:t xml:space="preserve"> </w:t>
      </w:r>
      <w:r w:rsidRPr="00F70D37">
        <w:t>million</w:t>
      </w:r>
      <w:r w:rsidR="006705C6" w:rsidRPr="00F70D37">
        <w:tab/>
      </w:r>
      <w:r w:rsidR="00BA74CB" w:rsidRPr="00F70D37">
        <w:t>Total Project Contingency (allocated and unallocated contingency</w:t>
      </w:r>
      <w:r w:rsidR="001A68AC" w:rsidRPr="00F70D37">
        <w:t xml:space="preserve"> as reported by CSP</w:t>
      </w:r>
      <w:r w:rsidR="00BA74CB" w:rsidRPr="00F70D37">
        <w:t>)</w:t>
      </w:r>
    </w:p>
    <w:p w:rsidR="00553E17" w:rsidRPr="00632A91" w:rsidRDefault="00FA2078" w:rsidP="007A68DF">
      <w:pPr>
        <w:tabs>
          <w:tab w:val="left" w:pos="1800"/>
        </w:tabs>
        <w:ind w:left="1800" w:hanging="1800"/>
      </w:pPr>
      <w:r w:rsidRPr="00632A91">
        <w:t>$</w:t>
      </w:r>
      <w:r w:rsidR="00BB7680" w:rsidRPr="00632A91">
        <w:t>1</w:t>
      </w:r>
      <w:r w:rsidR="009D2993" w:rsidRPr="00632A91">
        <w:t>4</w:t>
      </w:r>
      <w:r w:rsidR="00BB7680" w:rsidRPr="00632A91">
        <w:t>0</w:t>
      </w:r>
      <w:r w:rsidRPr="00632A91">
        <w:t xml:space="preserve"> million</w:t>
      </w:r>
      <w:r w:rsidRPr="00632A91">
        <w:tab/>
      </w:r>
      <w:r w:rsidR="001A382F" w:rsidRPr="00632A91">
        <w:t xml:space="preserve">Minimum </w:t>
      </w:r>
      <w:r w:rsidRPr="00632A91">
        <w:t xml:space="preserve">Total Project Contingency </w:t>
      </w:r>
      <w:r w:rsidR="00453F0D" w:rsidRPr="00632A91">
        <w:t xml:space="preserve">revised </w:t>
      </w:r>
      <w:r w:rsidR="00BB7680" w:rsidRPr="00632A91">
        <w:t>on September 5, 2012 PMOC review of Contingency Management Plan</w:t>
      </w:r>
      <w:r w:rsidRPr="00632A91">
        <w:t xml:space="preserve"> </w:t>
      </w:r>
    </w:p>
    <w:p w:rsidR="00553E17" w:rsidRPr="00632A91" w:rsidRDefault="00553E17" w:rsidP="007A68DF">
      <w:pPr>
        <w:tabs>
          <w:tab w:val="left" w:pos="1800"/>
        </w:tabs>
        <w:ind w:left="1800" w:hanging="1800"/>
        <w:rPr>
          <w:highlight w:val="yellow"/>
        </w:rPr>
      </w:pPr>
    </w:p>
    <w:p w:rsidR="00A034FE" w:rsidRPr="00632A91" w:rsidRDefault="008535EE" w:rsidP="00553E17">
      <w:pPr>
        <w:tabs>
          <w:tab w:val="left" w:pos="1800"/>
        </w:tabs>
        <w:ind w:left="1800" w:hanging="1800"/>
        <w:rPr>
          <w:highlight w:val="yellow"/>
        </w:rPr>
      </w:pPr>
      <w:r w:rsidRPr="00632A91">
        <w:rPr>
          <w:highlight w:val="yellow"/>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780"/>
        <w:gridCol w:w="1170"/>
        <w:gridCol w:w="1530"/>
        <w:gridCol w:w="1530"/>
      </w:tblGrid>
      <w:tr w:rsidR="00DD519F" w:rsidRPr="00632A91" w:rsidTr="00273F25">
        <w:trPr>
          <w:jc w:val="center"/>
        </w:trPr>
        <w:tc>
          <w:tcPr>
            <w:tcW w:w="750" w:type="dxa"/>
            <w:vAlign w:val="center"/>
          </w:tcPr>
          <w:p w:rsidR="00DD519F" w:rsidRPr="00632A91" w:rsidRDefault="00DD519F" w:rsidP="00273F25">
            <w:pPr>
              <w:jc w:val="center"/>
              <w:rPr>
                <w:b/>
              </w:rPr>
            </w:pPr>
          </w:p>
        </w:tc>
        <w:tc>
          <w:tcPr>
            <w:tcW w:w="3780" w:type="dxa"/>
            <w:vAlign w:val="center"/>
          </w:tcPr>
          <w:p w:rsidR="00DD519F" w:rsidRPr="00632A91" w:rsidRDefault="00DD519F" w:rsidP="00273F25">
            <w:pPr>
              <w:jc w:val="center"/>
              <w:rPr>
                <w:b/>
              </w:rPr>
            </w:pPr>
            <w:r w:rsidRPr="00632A91">
              <w:rPr>
                <w:b/>
              </w:rPr>
              <w:t>AT HOLD POINTS</w:t>
            </w:r>
          </w:p>
        </w:tc>
        <w:tc>
          <w:tcPr>
            <w:tcW w:w="1170" w:type="dxa"/>
            <w:vAlign w:val="center"/>
          </w:tcPr>
          <w:p w:rsidR="00DD519F" w:rsidRPr="00632A91" w:rsidRDefault="00DD519F" w:rsidP="00273F25">
            <w:pPr>
              <w:jc w:val="center"/>
              <w:rPr>
                <w:b/>
              </w:rPr>
            </w:pPr>
            <w:r w:rsidRPr="00632A91">
              <w:rPr>
                <w:b/>
              </w:rPr>
              <w:t>QTR</w:t>
            </w:r>
          </w:p>
        </w:tc>
        <w:tc>
          <w:tcPr>
            <w:tcW w:w="1530" w:type="dxa"/>
            <w:vAlign w:val="center"/>
          </w:tcPr>
          <w:p w:rsidR="00DD519F" w:rsidRPr="00632A91" w:rsidRDefault="00DD519F" w:rsidP="00273F25">
            <w:pPr>
              <w:jc w:val="center"/>
              <w:rPr>
                <w:b/>
              </w:rPr>
            </w:pPr>
            <w:r w:rsidRPr="00632A91">
              <w:rPr>
                <w:b/>
              </w:rPr>
              <w:t>Minimum Contingency Levels</w:t>
            </w:r>
          </w:p>
        </w:tc>
        <w:tc>
          <w:tcPr>
            <w:tcW w:w="1530" w:type="dxa"/>
            <w:vAlign w:val="center"/>
          </w:tcPr>
          <w:p w:rsidR="00DD519F" w:rsidRPr="00632A91" w:rsidRDefault="00453F0D" w:rsidP="00453F0D">
            <w:pPr>
              <w:jc w:val="center"/>
              <w:rPr>
                <w:b/>
              </w:rPr>
            </w:pPr>
            <w:r w:rsidRPr="00632A91">
              <w:rPr>
                <w:b/>
              </w:rPr>
              <w:t>Revised</w:t>
            </w:r>
            <w:r w:rsidR="00DD519F" w:rsidRPr="00632A91">
              <w:rPr>
                <w:b/>
              </w:rPr>
              <w:t xml:space="preserve"> Levels</w:t>
            </w:r>
          </w:p>
        </w:tc>
      </w:tr>
      <w:tr w:rsidR="00DD519F" w:rsidRPr="00632A91" w:rsidTr="00273F25">
        <w:trPr>
          <w:jc w:val="center"/>
        </w:trPr>
        <w:tc>
          <w:tcPr>
            <w:tcW w:w="750" w:type="dxa"/>
            <w:vAlign w:val="center"/>
          </w:tcPr>
          <w:p w:rsidR="00DD519F" w:rsidRPr="00632A91" w:rsidRDefault="00DD519F" w:rsidP="00273F25">
            <w:pPr>
              <w:jc w:val="center"/>
            </w:pPr>
          </w:p>
        </w:tc>
        <w:tc>
          <w:tcPr>
            <w:tcW w:w="3780" w:type="dxa"/>
            <w:vAlign w:val="center"/>
          </w:tcPr>
          <w:p w:rsidR="00DD519F" w:rsidRPr="00632A91" w:rsidRDefault="00DD519F" w:rsidP="00273F25">
            <w:pPr>
              <w:jc w:val="center"/>
            </w:pPr>
          </w:p>
        </w:tc>
        <w:tc>
          <w:tcPr>
            <w:tcW w:w="117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1A</w:t>
            </w:r>
          </w:p>
        </w:tc>
        <w:tc>
          <w:tcPr>
            <w:tcW w:w="3780" w:type="dxa"/>
            <w:vAlign w:val="center"/>
          </w:tcPr>
          <w:p w:rsidR="00DD519F" w:rsidRPr="00632A91" w:rsidRDefault="00DD519F" w:rsidP="00273F25">
            <w:r w:rsidRPr="00632A91">
              <w:t>Hold Point 1a – Tunnels 100% designed February 2011 (Actual)</w:t>
            </w:r>
          </w:p>
        </w:tc>
        <w:tc>
          <w:tcPr>
            <w:tcW w:w="1170" w:type="dxa"/>
            <w:vAlign w:val="center"/>
          </w:tcPr>
          <w:p w:rsidR="00DD519F" w:rsidRPr="00632A91" w:rsidRDefault="00DD519F" w:rsidP="00273F25">
            <w:pPr>
              <w:jc w:val="center"/>
            </w:pPr>
            <w:r w:rsidRPr="00632A91">
              <w:t>1Q11</w:t>
            </w:r>
          </w:p>
        </w:tc>
        <w:tc>
          <w:tcPr>
            <w:tcW w:w="1530" w:type="dxa"/>
            <w:vAlign w:val="center"/>
          </w:tcPr>
          <w:p w:rsidR="00DD519F" w:rsidRPr="00632A91" w:rsidRDefault="00DD519F" w:rsidP="00273F25">
            <w:pPr>
              <w:jc w:val="center"/>
            </w:pPr>
            <w:r w:rsidRPr="00632A91">
              <w:t>280</w:t>
            </w:r>
          </w:p>
        </w:tc>
        <w:tc>
          <w:tcPr>
            <w:tcW w:w="1530" w:type="dxa"/>
            <w:vAlign w:val="center"/>
          </w:tcPr>
          <w:p w:rsidR="00DD519F" w:rsidRPr="00632A91" w:rsidRDefault="00DD519F" w:rsidP="00273F25">
            <w:pPr>
              <w:jc w:val="center"/>
            </w:pPr>
            <w:r w:rsidRPr="00632A91">
              <w:t>280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1B</w:t>
            </w:r>
          </w:p>
        </w:tc>
        <w:tc>
          <w:tcPr>
            <w:tcW w:w="3780" w:type="dxa"/>
            <w:vAlign w:val="center"/>
          </w:tcPr>
          <w:p w:rsidR="00DD519F" w:rsidRPr="00632A91" w:rsidRDefault="00DD519F" w:rsidP="00273F25">
            <w:pPr>
              <w:tabs>
                <w:tab w:val="center" w:pos="4320"/>
                <w:tab w:val="right" w:pos="8640"/>
              </w:tabs>
            </w:pPr>
            <w:r w:rsidRPr="00632A91">
              <w:t>Hold Point 1b – CTS 100% designed June 2012 (Actual)</w:t>
            </w:r>
          </w:p>
        </w:tc>
        <w:tc>
          <w:tcPr>
            <w:tcW w:w="1170" w:type="dxa"/>
            <w:vAlign w:val="center"/>
          </w:tcPr>
          <w:p w:rsidR="00DD519F" w:rsidRPr="00632A91" w:rsidRDefault="00DD519F" w:rsidP="00273F25">
            <w:pPr>
              <w:jc w:val="center"/>
            </w:pPr>
            <w:r w:rsidRPr="00632A91">
              <w:t>4Q11</w:t>
            </w:r>
          </w:p>
        </w:tc>
        <w:tc>
          <w:tcPr>
            <w:tcW w:w="1530" w:type="dxa"/>
            <w:vAlign w:val="center"/>
          </w:tcPr>
          <w:p w:rsidR="00DD519F" w:rsidRPr="00632A91" w:rsidRDefault="00DD519F" w:rsidP="00273F25">
            <w:pPr>
              <w:jc w:val="center"/>
            </w:pPr>
            <w:r w:rsidRPr="00632A91">
              <w:t>250</w:t>
            </w:r>
          </w:p>
        </w:tc>
        <w:tc>
          <w:tcPr>
            <w:tcW w:w="1530" w:type="dxa"/>
            <w:vAlign w:val="center"/>
          </w:tcPr>
          <w:p w:rsidR="00DD519F" w:rsidRPr="00632A91" w:rsidRDefault="00DD519F" w:rsidP="00273F25">
            <w:pPr>
              <w:jc w:val="center"/>
            </w:pPr>
            <w:r w:rsidRPr="00632A91">
              <w:t>240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1C</w:t>
            </w:r>
          </w:p>
        </w:tc>
        <w:tc>
          <w:tcPr>
            <w:tcW w:w="3780" w:type="dxa"/>
            <w:vAlign w:val="center"/>
          </w:tcPr>
          <w:p w:rsidR="00DD519F" w:rsidRPr="00632A91" w:rsidRDefault="00DD519F" w:rsidP="00273F25">
            <w:r w:rsidRPr="00632A91">
              <w:t>Hold Point 1c – 40% Bid (Tunnel and CTS)</w:t>
            </w:r>
          </w:p>
        </w:tc>
        <w:tc>
          <w:tcPr>
            <w:tcW w:w="1170" w:type="dxa"/>
            <w:vAlign w:val="center"/>
          </w:tcPr>
          <w:p w:rsidR="00DD519F" w:rsidRPr="00632A91" w:rsidRDefault="00DD519F" w:rsidP="00273F25">
            <w:pPr>
              <w:jc w:val="center"/>
            </w:pPr>
            <w:r w:rsidRPr="00632A91">
              <w:t>2Q12</w:t>
            </w:r>
          </w:p>
        </w:tc>
        <w:tc>
          <w:tcPr>
            <w:tcW w:w="1530" w:type="dxa"/>
            <w:vAlign w:val="center"/>
          </w:tcPr>
          <w:p w:rsidR="00DD519F" w:rsidRPr="00632A91" w:rsidRDefault="00DD519F" w:rsidP="00273F25">
            <w:pPr>
              <w:tabs>
                <w:tab w:val="center" w:pos="4320"/>
                <w:tab w:val="right" w:pos="8640"/>
              </w:tabs>
              <w:jc w:val="center"/>
            </w:pPr>
            <w:r w:rsidRPr="00632A91">
              <w:t>225</w:t>
            </w:r>
          </w:p>
        </w:tc>
        <w:tc>
          <w:tcPr>
            <w:tcW w:w="1530" w:type="dxa"/>
            <w:vAlign w:val="center"/>
          </w:tcPr>
          <w:p w:rsidR="00DD519F" w:rsidRPr="00632A91" w:rsidRDefault="00DD519F" w:rsidP="00273F25">
            <w:pPr>
              <w:tabs>
                <w:tab w:val="center" w:pos="4320"/>
                <w:tab w:val="right" w:pos="8640"/>
              </w:tabs>
              <w:jc w:val="center"/>
            </w:pPr>
            <w:r w:rsidRPr="00632A91">
              <w:t>200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1D</w:t>
            </w:r>
          </w:p>
        </w:tc>
        <w:tc>
          <w:tcPr>
            <w:tcW w:w="3780" w:type="dxa"/>
            <w:vAlign w:val="center"/>
          </w:tcPr>
          <w:p w:rsidR="00DD519F" w:rsidRPr="00632A91" w:rsidRDefault="00DD519F" w:rsidP="00273F25">
            <w:r w:rsidRPr="00632A91">
              <w:t>Hold Point 1d – FFGA Award</w:t>
            </w:r>
            <w:r w:rsidR="00453F0D" w:rsidRPr="00632A91">
              <w:t>. October 2012 (Actual)</w:t>
            </w:r>
          </w:p>
        </w:tc>
        <w:tc>
          <w:tcPr>
            <w:tcW w:w="1170" w:type="dxa"/>
            <w:vAlign w:val="center"/>
          </w:tcPr>
          <w:p w:rsidR="00DD519F" w:rsidRPr="00632A91" w:rsidRDefault="00DD519F" w:rsidP="00273F25">
            <w:pPr>
              <w:jc w:val="center"/>
            </w:pPr>
            <w:r w:rsidRPr="00632A91">
              <w:t>3Q12</w:t>
            </w:r>
          </w:p>
        </w:tc>
        <w:tc>
          <w:tcPr>
            <w:tcW w:w="1530" w:type="dxa"/>
            <w:vAlign w:val="center"/>
          </w:tcPr>
          <w:p w:rsidR="00DD519F" w:rsidRPr="00632A91" w:rsidRDefault="00DD519F" w:rsidP="00273F25">
            <w:pPr>
              <w:tabs>
                <w:tab w:val="center" w:pos="4320"/>
                <w:tab w:val="right" w:pos="8640"/>
              </w:tabs>
              <w:jc w:val="center"/>
            </w:pPr>
            <w:r w:rsidRPr="00632A91">
              <w:t>-</w:t>
            </w:r>
          </w:p>
        </w:tc>
        <w:tc>
          <w:tcPr>
            <w:tcW w:w="1530" w:type="dxa"/>
            <w:vAlign w:val="center"/>
          </w:tcPr>
          <w:p w:rsidR="00DD519F" w:rsidRPr="00632A91" w:rsidRDefault="00DD519F" w:rsidP="00273F25">
            <w:pPr>
              <w:tabs>
                <w:tab w:val="center" w:pos="4320"/>
                <w:tab w:val="right" w:pos="8640"/>
              </w:tabs>
              <w:jc w:val="center"/>
            </w:pPr>
            <w:r w:rsidRPr="00632A91">
              <w:t>180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2</w:t>
            </w:r>
          </w:p>
        </w:tc>
        <w:tc>
          <w:tcPr>
            <w:tcW w:w="3780" w:type="dxa"/>
            <w:vAlign w:val="center"/>
          </w:tcPr>
          <w:p w:rsidR="00DD519F" w:rsidRPr="00632A91" w:rsidRDefault="00DD519F" w:rsidP="00FC03D3">
            <w:pPr>
              <w:tabs>
                <w:tab w:val="center" w:pos="4320"/>
                <w:tab w:val="right" w:pos="8640"/>
              </w:tabs>
            </w:pPr>
            <w:r w:rsidRPr="00632A91">
              <w:t xml:space="preserve">Hold Point 2 – </w:t>
            </w:r>
            <w:r w:rsidR="00453F0D" w:rsidRPr="00632A91">
              <w:t xml:space="preserve">Commence </w:t>
            </w:r>
            <w:r w:rsidRPr="00632A91">
              <w:t xml:space="preserve">CTS / UMS </w:t>
            </w:r>
            <w:r w:rsidR="00453F0D" w:rsidRPr="00632A91">
              <w:t xml:space="preserve">construction.  </w:t>
            </w:r>
            <w:r w:rsidR="009D2993" w:rsidRPr="00632A91">
              <w:t>(Actual June 17, 2013)</w:t>
            </w:r>
          </w:p>
        </w:tc>
        <w:tc>
          <w:tcPr>
            <w:tcW w:w="1170" w:type="dxa"/>
            <w:vAlign w:val="center"/>
          </w:tcPr>
          <w:p w:rsidR="00DD519F" w:rsidRPr="00632A91" w:rsidRDefault="00807931" w:rsidP="00807931">
            <w:pPr>
              <w:tabs>
                <w:tab w:val="center" w:pos="4320"/>
                <w:tab w:val="right" w:pos="8640"/>
              </w:tabs>
              <w:jc w:val="center"/>
            </w:pPr>
            <w:r w:rsidRPr="00632A91">
              <w:t>2</w:t>
            </w:r>
            <w:r w:rsidR="00DD519F" w:rsidRPr="00632A91">
              <w:t>Q1</w:t>
            </w:r>
            <w:r w:rsidRPr="00632A91">
              <w:t>3</w:t>
            </w:r>
          </w:p>
        </w:tc>
        <w:tc>
          <w:tcPr>
            <w:tcW w:w="1530" w:type="dxa"/>
            <w:vAlign w:val="center"/>
          </w:tcPr>
          <w:p w:rsidR="00DD519F" w:rsidRPr="00632A91" w:rsidRDefault="00DD519F" w:rsidP="00273F25">
            <w:pPr>
              <w:tabs>
                <w:tab w:val="center" w:pos="4320"/>
                <w:tab w:val="right" w:pos="8640"/>
              </w:tabs>
              <w:jc w:val="center"/>
            </w:pPr>
            <w:r w:rsidRPr="00632A91">
              <w:t>160</w:t>
            </w:r>
          </w:p>
        </w:tc>
        <w:tc>
          <w:tcPr>
            <w:tcW w:w="1530" w:type="dxa"/>
            <w:vAlign w:val="center"/>
          </w:tcPr>
          <w:p w:rsidR="00DD519F" w:rsidRPr="00632A91" w:rsidRDefault="00DD519F" w:rsidP="00273F25">
            <w:pPr>
              <w:tabs>
                <w:tab w:val="center" w:pos="4320"/>
                <w:tab w:val="right" w:pos="8640"/>
              </w:tabs>
              <w:jc w:val="center"/>
            </w:pPr>
            <w:r w:rsidRPr="00632A91">
              <w:t>160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3</w:t>
            </w:r>
          </w:p>
        </w:tc>
        <w:tc>
          <w:tcPr>
            <w:tcW w:w="3780" w:type="dxa"/>
            <w:vAlign w:val="center"/>
          </w:tcPr>
          <w:p w:rsidR="00DD519F" w:rsidRPr="00632A91" w:rsidRDefault="00DD519F" w:rsidP="007A72CA">
            <w:pPr>
              <w:tabs>
                <w:tab w:val="center" w:pos="4320"/>
                <w:tab w:val="right" w:pos="8640"/>
              </w:tabs>
            </w:pPr>
            <w:r w:rsidRPr="00632A91">
              <w:t xml:space="preserve">Hold Point 3 – Demobilize Tunnels Expected </w:t>
            </w:r>
            <w:r w:rsidR="007A72CA" w:rsidRPr="00632A91">
              <w:t>June</w:t>
            </w:r>
            <w:r w:rsidRPr="00632A91">
              <w:t xml:space="preserve"> 2014</w:t>
            </w:r>
          </w:p>
        </w:tc>
        <w:tc>
          <w:tcPr>
            <w:tcW w:w="1170" w:type="dxa"/>
            <w:vAlign w:val="center"/>
          </w:tcPr>
          <w:p w:rsidR="00DD519F" w:rsidRPr="00632A91" w:rsidRDefault="00DD519F" w:rsidP="00273F25">
            <w:pPr>
              <w:jc w:val="center"/>
            </w:pPr>
            <w:r w:rsidRPr="00632A91">
              <w:t>2Q14</w:t>
            </w:r>
          </w:p>
        </w:tc>
        <w:tc>
          <w:tcPr>
            <w:tcW w:w="1530" w:type="dxa"/>
            <w:vAlign w:val="center"/>
          </w:tcPr>
          <w:p w:rsidR="00DD519F" w:rsidRPr="00632A91" w:rsidRDefault="00DD519F" w:rsidP="00273F25">
            <w:pPr>
              <w:jc w:val="center"/>
            </w:pPr>
            <w:r w:rsidRPr="00632A91">
              <w:t>140</w:t>
            </w:r>
          </w:p>
        </w:tc>
        <w:tc>
          <w:tcPr>
            <w:tcW w:w="1530" w:type="dxa"/>
            <w:vAlign w:val="center"/>
          </w:tcPr>
          <w:p w:rsidR="00DD519F" w:rsidRPr="00632A91" w:rsidRDefault="00DD519F" w:rsidP="00273F25">
            <w:pPr>
              <w:jc w:val="center"/>
            </w:pPr>
            <w:r w:rsidRPr="00632A91">
              <w:t>140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4</w:t>
            </w:r>
          </w:p>
        </w:tc>
        <w:tc>
          <w:tcPr>
            <w:tcW w:w="3780" w:type="dxa"/>
            <w:vAlign w:val="center"/>
          </w:tcPr>
          <w:p w:rsidR="00DD519F" w:rsidRPr="00632A91" w:rsidRDefault="00DD519F" w:rsidP="00273F25">
            <w:pPr>
              <w:tabs>
                <w:tab w:val="center" w:pos="4320"/>
                <w:tab w:val="right" w:pos="8640"/>
              </w:tabs>
            </w:pPr>
            <w:r w:rsidRPr="00632A91">
              <w:t>Hold Point 4 – Stations to platform levels (CTS/MOS) January 2017</w:t>
            </w:r>
          </w:p>
        </w:tc>
        <w:tc>
          <w:tcPr>
            <w:tcW w:w="1170" w:type="dxa"/>
            <w:vAlign w:val="center"/>
          </w:tcPr>
          <w:p w:rsidR="00DD519F" w:rsidRPr="00632A91" w:rsidRDefault="00DD519F" w:rsidP="00273F25">
            <w:pPr>
              <w:tabs>
                <w:tab w:val="center" w:pos="4320"/>
                <w:tab w:val="right" w:pos="8640"/>
              </w:tabs>
              <w:jc w:val="center"/>
            </w:pPr>
            <w:r w:rsidRPr="00632A91">
              <w:t>1Q17</w:t>
            </w:r>
          </w:p>
        </w:tc>
        <w:tc>
          <w:tcPr>
            <w:tcW w:w="1530" w:type="dxa"/>
            <w:vAlign w:val="center"/>
          </w:tcPr>
          <w:p w:rsidR="00DD519F" w:rsidRPr="00632A91" w:rsidRDefault="00DD519F" w:rsidP="00273F25">
            <w:pPr>
              <w:tabs>
                <w:tab w:val="center" w:pos="4320"/>
                <w:tab w:val="right" w:pos="8640"/>
              </w:tabs>
              <w:jc w:val="center"/>
            </w:pPr>
            <w:r w:rsidRPr="00632A91">
              <w:t>60</w:t>
            </w:r>
          </w:p>
        </w:tc>
        <w:tc>
          <w:tcPr>
            <w:tcW w:w="1530" w:type="dxa"/>
            <w:vAlign w:val="center"/>
          </w:tcPr>
          <w:p w:rsidR="00DD519F" w:rsidRPr="00632A91" w:rsidRDefault="00DD519F" w:rsidP="00273F25">
            <w:pPr>
              <w:tabs>
                <w:tab w:val="center" w:pos="4320"/>
                <w:tab w:val="right" w:pos="8640"/>
              </w:tabs>
              <w:jc w:val="center"/>
            </w:pPr>
            <w:r w:rsidRPr="00632A91">
              <w:t>60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5</w:t>
            </w:r>
          </w:p>
        </w:tc>
        <w:tc>
          <w:tcPr>
            <w:tcW w:w="3780" w:type="dxa"/>
            <w:vAlign w:val="center"/>
          </w:tcPr>
          <w:p w:rsidR="00DD519F" w:rsidRPr="00632A91" w:rsidRDefault="00DD519F" w:rsidP="00273F25">
            <w:pPr>
              <w:tabs>
                <w:tab w:val="center" w:pos="4320"/>
                <w:tab w:val="right" w:pos="8640"/>
              </w:tabs>
            </w:pPr>
            <w:r w:rsidRPr="00632A91">
              <w:t>Hold Point 5 – Complete CTS / Tunnels systems inst. July 2018</w:t>
            </w:r>
          </w:p>
        </w:tc>
        <w:tc>
          <w:tcPr>
            <w:tcW w:w="1170" w:type="dxa"/>
            <w:vAlign w:val="center"/>
          </w:tcPr>
          <w:p w:rsidR="00DD519F" w:rsidRPr="00632A91" w:rsidRDefault="00DD519F" w:rsidP="00273F25">
            <w:pPr>
              <w:tabs>
                <w:tab w:val="center" w:pos="4320"/>
                <w:tab w:val="right" w:pos="8640"/>
              </w:tabs>
              <w:jc w:val="center"/>
            </w:pPr>
            <w:r w:rsidRPr="00632A91">
              <w:t>3Q18</w:t>
            </w:r>
          </w:p>
        </w:tc>
        <w:tc>
          <w:tcPr>
            <w:tcW w:w="1530" w:type="dxa"/>
            <w:vAlign w:val="center"/>
          </w:tcPr>
          <w:p w:rsidR="00DD519F" w:rsidRPr="00632A91" w:rsidRDefault="00DD519F" w:rsidP="00273F25">
            <w:pPr>
              <w:tabs>
                <w:tab w:val="center" w:pos="4320"/>
                <w:tab w:val="right" w:pos="8640"/>
              </w:tabs>
              <w:jc w:val="center"/>
            </w:pPr>
            <w:r w:rsidRPr="00632A91">
              <w:t>25</w:t>
            </w:r>
          </w:p>
        </w:tc>
        <w:tc>
          <w:tcPr>
            <w:tcW w:w="1530" w:type="dxa"/>
            <w:vAlign w:val="center"/>
          </w:tcPr>
          <w:p w:rsidR="00DD519F" w:rsidRPr="00632A91" w:rsidRDefault="00DD519F" w:rsidP="00273F25">
            <w:pPr>
              <w:tabs>
                <w:tab w:val="center" w:pos="4320"/>
                <w:tab w:val="right" w:pos="8640"/>
              </w:tabs>
              <w:jc w:val="center"/>
            </w:pPr>
            <w:r w:rsidRPr="00632A91">
              <w:t>25</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RSD</w:t>
            </w:r>
          </w:p>
        </w:tc>
        <w:tc>
          <w:tcPr>
            <w:tcW w:w="3780" w:type="dxa"/>
            <w:vAlign w:val="center"/>
          </w:tcPr>
          <w:p w:rsidR="00DD519F" w:rsidRPr="00632A91" w:rsidRDefault="00DD519F" w:rsidP="00273F25">
            <w:pPr>
              <w:tabs>
                <w:tab w:val="center" w:pos="4320"/>
                <w:tab w:val="right" w:pos="8640"/>
              </w:tabs>
            </w:pPr>
            <w:r w:rsidRPr="00632A91">
              <w:t>PMOC / FTA RSD</w:t>
            </w:r>
          </w:p>
        </w:tc>
        <w:tc>
          <w:tcPr>
            <w:tcW w:w="1170" w:type="dxa"/>
            <w:vAlign w:val="center"/>
          </w:tcPr>
          <w:p w:rsidR="00DD519F" w:rsidRPr="00632A91" w:rsidRDefault="00DD519F" w:rsidP="00273F25">
            <w:pPr>
              <w:tabs>
                <w:tab w:val="center" w:pos="4320"/>
                <w:tab w:val="right" w:pos="8640"/>
              </w:tabs>
              <w:jc w:val="center"/>
            </w:pPr>
            <w:r w:rsidRPr="00632A91">
              <w:t>4Q18</w:t>
            </w:r>
          </w:p>
        </w:tc>
        <w:tc>
          <w:tcPr>
            <w:tcW w:w="153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r>
      <w:tr w:rsidR="00DD519F" w:rsidRPr="000031AD" w:rsidTr="00273F25">
        <w:trPr>
          <w:jc w:val="center"/>
        </w:trPr>
        <w:tc>
          <w:tcPr>
            <w:tcW w:w="8760" w:type="dxa"/>
            <w:gridSpan w:val="5"/>
            <w:shd w:val="clear" w:color="auto" w:fill="FFFF00"/>
            <w:vAlign w:val="center"/>
          </w:tcPr>
          <w:p w:rsidR="00DD519F" w:rsidRPr="000031AD" w:rsidRDefault="00DD519F" w:rsidP="00FC03D3">
            <w:pPr>
              <w:jc w:val="center"/>
              <w:rPr>
                <w:b/>
                <w:color w:val="FF0000"/>
              </w:rPr>
            </w:pPr>
            <w:r w:rsidRPr="00632A91">
              <w:rPr>
                <w:b/>
                <w:color w:val="FF0000"/>
                <w:highlight w:val="yellow"/>
              </w:rPr>
              <w:t>CURRENT TOTAL CONTINGENCY $</w:t>
            </w:r>
            <w:r w:rsidR="00FC03D3">
              <w:rPr>
                <w:b/>
                <w:color w:val="FF0000"/>
                <w:highlight w:val="yellow"/>
              </w:rPr>
              <w:t>71.3</w:t>
            </w:r>
            <w:r w:rsidRPr="00632A91">
              <w:rPr>
                <w:b/>
                <w:color w:val="FF0000"/>
                <w:highlight w:val="yellow"/>
              </w:rPr>
              <w:t xml:space="preserve"> Million</w:t>
            </w:r>
          </w:p>
        </w:tc>
      </w:tr>
    </w:tbl>
    <w:p w:rsidR="00143ED2" w:rsidRDefault="00143ED2" w:rsidP="007A68DF">
      <w:pPr>
        <w:tabs>
          <w:tab w:val="left" w:pos="1800"/>
        </w:tabs>
        <w:ind w:left="1800" w:hanging="1800"/>
      </w:pPr>
    </w:p>
    <w:p w:rsidR="00DD519F" w:rsidRDefault="00DD519F">
      <w:pPr>
        <w:rPr>
          <w:b/>
        </w:rPr>
      </w:pPr>
      <w:r>
        <w:rPr>
          <w:b/>
        </w:rPr>
        <w:br w:type="page"/>
      </w:r>
    </w:p>
    <w:p w:rsidR="00EE2AEA" w:rsidRPr="00EE2AEA" w:rsidRDefault="00EE2AEA" w:rsidP="00621B69">
      <w:pPr>
        <w:tabs>
          <w:tab w:val="left" w:pos="900"/>
          <w:tab w:val="left" w:pos="4320"/>
          <w:tab w:val="left" w:pos="5220"/>
        </w:tabs>
        <w:ind w:left="720" w:right="-720"/>
        <w:rPr>
          <w:b/>
        </w:rPr>
      </w:pPr>
      <w:r w:rsidRPr="00EE2AEA">
        <w:rPr>
          <w:b/>
        </w:rPr>
        <w:lastRenderedPageBreak/>
        <w:t>Project Map</w:t>
      </w:r>
    </w:p>
    <w:p w:rsidR="00EE2AEA" w:rsidRDefault="00EE2AEA" w:rsidP="003F18C1">
      <w:pPr>
        <w:tabs>
          <w:tab w:val="left" w:pos="900"/>
          <w:tab w:val="left" w:pos="4320"/>
          <w:tab w:val="left" w:pos="5220"/>
        </w:tabs>
        <w:ind w:right="-720"/>
        <w:jc w:val="both"/>
      </w:pPr>
    </w:p>
    <w:p w:rsidR="00EE2AEA" w:rsidRDefault="00EE2AEA" w:rsidP="003F18C1">
      <w:pPr>
        <w:tabs>
          <w:tab w:val="left" w:pos="900"/>
          <w:tab w:val="left" w:pos="4320"/>
          <w:tab w:val="left" w:pos="5220"/>
        </w:tabs>
        <w:ind w:right="-720"/>
        <w:jc w:val="both"/>
      </w:pPr>
    </w:p>
    <w:p w:rsidR="00EE2AEA" w:rsidRPr="00F209CC" w:rsidRDefault="00591235" w:rsidP="005610C8">
      <w:pPr>
        <w:tabs>
          <w:tab w:val="left" w:pos="900"/>
          <w:tab w:val="left" w:pos="4320"/>
          <w:tab w:val="left" w:pos="5220"/>
        </w:tabs>
        <w:ind w:right="-720"/>
        <w:jc w:val="center"/>
      </w:pPr>
      <w:r>
        <w:rPr>
          <w:b/>
          <w:i/>
          <w:noProof/>
        </w:rPr>
        <w:drawing>
          <wp:inline distT="0" distB="0" distL="0" distR="0">
            <wp:extent cx="4184015" cy="4304665"/>
            <wp:effectExtent l="19050" t="0" r="6985" b="0"/>
            <wp:docPr id="1" name="Picture 1" descr="fourth-stockton-modified-LPA-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stockton-modified-LPA-alignment"/>
                    <pic:cNvPicPr>
                      <a:picLocks noChangeAspect="1" noChangeArrowheads="1"/>
                    </pic:cNvPicPr>
                  </pic:nvPicPr>
                  <pic:blipFill>
                    <a:blip r:embed="rId9" cstate="print"/>
                    <a:srcRect/>
                    <a:stretch>
                      <a:fillRect/>
                    </a:stretch>
                  </pic:blipFill>
                  <pic:spPr bwMode="auto">
                    <a:xfrm>
                      <a:off x="0" y="0"/>
                      <a:ext cx="4184015" cy="4304665"/>
                    </a:xfrm>
                    <a:prstGeom prst="rect">
                      <a:avLst/>
                    </a:prstGeom>
                    <a:noFill/>
                    <a:ln w="9525">
                      <a:noFill/>
                      <a:miter lim="800000"/>
                      <a:headEnd/>
                      <a:tailEnd/>
                    </a:ln>
                  </pic:spPr>
                </pic:pic>
              </a:graphicData>
            </a:graphic>
          </wp:inline>
        </w:drawing>
      </w:r>
    </w:p>
    <w:sectPr w:rsidR="00EE2AEA" w:rsidRPr="00F209CC" w:rsidSect="000101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AD" w:rsidRDefault="008674AD">
      <w:r>
        <w:separator/>
      </w:r>
    </w:p>
  </w:endnote>
  <w:endnote w:type="continuationSeparator" w:id="0">
    <w:p w:rsidR="008674AD" w:rsidRDefault="0086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99" w:rsidRPr="00381A3E" w:rsidRDefault="008540B7" w:rsidP="000B5499">
    <w:pPr>
      <w:pStyle w:val="Footer"/>
      <w:pBdr>
        <w:top w:val="single" w:sz="4" w:space="1" w:color="auto"/>
      </w:pBdr>
      <w:tabs>
        <w:tab w:val="clear" w:pos="4320"/>
        <w:tab w:val="clear" w:pos="8640"/>
        <w:tab w:val="left" w:pos="7650"/>
        <w:tab w:val="right" w:pos="9360"/>
      </w:tabs>
      <w:rPr>
        <w:i/>
      </w:rPr>
    </w:pPr>
    <w:r>
      <w:rPr>
        <w:i/>
      </w:rPr>
      <w:t>December</w:t>
    </w:r>
    <w:r w:rsidR="00CE45D0">
      <w:rPr>
        <w:i/>
      </w:rPr>
      <w:t xml:space="preserve"> </w:t>
    </w:r>
    <w:r w:rsidR="00F13A1E">
      <w:rPr>
        <w:i/>
      </w:rPr>
      <w:t>201</w:t>
    </w:r>
    <w:r w:rsidR="00736E07">
      <w:rPr>
        <w:i/>
      </w:rPr>
      <w:t>3</w:t>
    </w:r>
    <w:r w:rsidR="000B5499" w:rsidRPr="00381A3E">
      <w:rPr>
        <w:i/>
      </w:rPr>
      <w:tab/>
    </w:r>
    <w:r w:rsidR="000B5499" w:rsidRPr="00381A3E">
      <w:rPr>
        <w:i/>
      </w:rPr>
      <w:tab/>
      <w:t xml:space="preserve">Page </w:t>
    </w:r>
    <w:r w:rsidR="00AC54C2" w:rsidRPr="00381A3E">
      <w:rPr>
        <w:rStyle w:val="PageNumber"/>
        <w:i/>
      </w:rPr>
      <w:fldChar w:fldCharType="begin"/>
    </w:r>
    <w:r w:rsidR="000B5499" w:rsidRPr="00381A3E">
      <w:rPr>
        <w:rStyle w:val="PageNumber"/>
        <w:i/>
      </w:rPr>
      <w:instrText xml:space="preserve"> PAGE </w:instrText>
    </w:r>
    <w:r w:rsidR="00AC54C2" w:rsidRPr="00381A3E">
      <w:rPr>
        <w:rStyle w:val="PageNumber"/>
        <w:i/>
      </w:rPr>
      <w:fldChar w:fldCharType="separate"/>
    </w:r>
    <w:r w:rsidR="00987EFF">
      <w:rPr>
        <w:rStyle w:val="PageNumber"/>
        <w:i/>
        <w:noProof/>
      </w:rPr>
      <w:t>2</w:t>
    </w:r>
    <w:r w:rsidR="00AC54C2" w:rsidRPr="00381A3E">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AD" w:rsidRDefault="008674AD">
      <w:r>
        <w:separator/>
      </w:r>
    </w:p>
  </w:footnote>
  <w:footnote w:type="continuationSeparator" w:id="0">
    <w:p w:rsidR="008674AD" w:rsidRDefault="0086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76" w:rsidRDefault="007A0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2BE"/>
    <w:multiLevelType w:val="hybridMultilevel"/>
    <w:tmpl w:val="618CA0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3C6959"/>
    <w:multiLevelType w:val="hybridMultilevel"/>
    <w:tmpl w:val="9094F45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01FAD"/>
    <w:multiLevelType w:val="hybridMultilevel"/>
    <w:tmpl w:val="BBB0F40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D1BA2"/>
    <w:multiLevelType w:val="hybridMultilevel"/>
    <w:tmpl w:val="A6EC58A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72413"/>
    <w:multiLevelType w:val="hybridMultilevel"/>
    <w:tmpl w:val="4F144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FE58B6"/>
    <w:multiLevelType w:val="hybridMultilevel"/>
    <w:tmpl w:val="31ACFE56"/>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71B3B"/>
    <w:multiLevelType w:val="hybridMultilevel"/>
    <w:tmpl w:val="95DC7F0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0146"/>
    <w:rsid w:val="00001E05"/>
    <w:rsid w:val="000031AD"/>
    <w:rsid w:val="00010146"/>
    <w:rsid w:val="00014804"/>
    <w:rsid w:val="00023E3C"/>
    <w:rsid w:val="000270A5"/>
    <w:rsid w:val="00034E4B"/>
    <w:rsid w:val="00054D82"/>
    <w:rsid w:val="000621F1"/>
    <w:rsid w:val="00062AAB"/>
    <w:rsid w:val="00064C3A"/>
    <w:rsid w:val="0006646F"/>
    <w:rsid w:val="000666EF"/>
    <w:rsid w:val="00066AA4"/>
    <w:rsid w:val="00066C8C"/>
    <w:rsid w:val="00072D91"/>
    <w:rsid w:val="00074B56"/>
    <w:rsid w:val="0009777D"/>
    <w:rsid w:val="000B1020"/>
    <w:rsid w:val="000B5499"/>
    <w:rsid w:val="000B7DAE"/>
    <w:rsid w:val="000C6636"/>
    <w:rsid w:val="000D01B1"/>
    <w:rsid w:val="000D4CA5"/>
    <w:rsid w:val="000E41FA"/>
    <w:rsid w:val="000E44DB"/>
    <w:rsid w:val="000F26D2"/>
    <w:rsid w:val="000F7E82"/>
    <w:rsid w:val="0010089C"/>
    <w:rsid w:val="00104CC8"/>
    <w:rsid w:val="0011487F"/>
    <w:rsid w:val="00116FB3"/>
    <w:rsid w:val="00121937"/>
    <w:rsid w:val="0012590D"/>
    <w:rsid w:val="001412EE"/>
    <w:rsid w:val="00143ED2"/>
    <w:rsid w:val="00152779"/>
    <w:rsid w:val="00154DF3"/>
    <w:rsid w:val="00163A4A"/>
    <w:rsid w:val="00164F95"/>
    <w:rsid w:val="001662E0"/>
    <w:rsid w:val="00171129"/>
    <w:rsid w:val="00172979"/>
    <w:rsid w:val="00174597"/>
    <w:rsid w:val="00175418"/>
    <w:rsid w:val="00177AF6"/>
    <w:rsid w:val="00197890"/>
    <w:rsid w:val="00197F65"/>
    <w:rsid w:val="001A219B"/>
    <w:rsid w:val="001A382F"/>
    <w:rsid w:val="001A449B"/>
    <w:rsid w:val="001A68AC"/>
    <w:rsid w:val="001B0460"/>
    <w:rsid w:val="001C091C"/>
    <w:rsid w:val="001D541E"/>
    <w:rsid w:val="001E49AE"/>
    <w:rsid w:val="001E65AE"/>
    <w:rsid w:val="001F4B86"/>
    <w:rsid w:val="00213324"/>
    <w:rsid w:val="00213F49"/>
    <w:rsid w:val="002169C8"/>
    <w:rsid w:val="0021710C"/>
    <w:rsid w:val="00220F60"/>
    <w:rsid w:val="0022608B"/>
    <w:rsid w:val="00234F85"/>
    <w:rsid w:val="00236780"/>
    <w:rsid w:val="00252E83"/>
    <w:rsid w:val="00256F00"/>
    <w:rsid w:val="0026312E"/>
    <w:rsid w:val="0026558E"/>
    <w:rsid w:val="00265FA4"/>
    <w:rsid w:val="00270207"/>
    <w:rsid w:val="0027491F"/>
    <w:rsid w:val="0027609F"/>
    <w:rsid w:val="00276830"/>
    <w:rsid w:val="00277030"/>
    <w:rsid w:val="00280F08"/>
    <w:rsid w:val="00282B81"/>
    <w:rsid w:val="00284451"/>
    <w:rsid w:val="002924C7"/>
    <w:rsid w:val="00293FB9"/>
    <w:rsid w:val="00295734"/>
    <w:rsid w:val="002B48B8"/>
    <w:rsid w:val="002B7617"/>
    <w:rsid w:val="002C05F3"/>
    <w:rsid w:val="002D0C71"/>
    <w:rsid w:val="002E3A70"/>
    <w:rsid w:val="002E604A"/>
    <w:rsid w:val="00300448"/>
    <w:rsid w:val="00305916"/>
    <w:rsid w:val="00311761"/>
    <w:rsid w:val="00314B9F"/>
    <w:rsid w:val="00326778"/>
    <w:rsid w:val="003308F9"/>
    <w:rsid w:val="00343D30"/>
    <w:rsid w:val="003502D7"/>
    <w:rsid w:val="00351788"/>
    <w:rsid w:val="00352AA1"/>
    <w:rsid w:val="00354307"/>
    <w:rsid w:val="00357E3B"/>
    <w:rsid w:val="003615FB"/>
    <w:rsid w:val="00361BC7"/>
    <w:rsid w:val="00367E63"/>
    <w:rsid w:val="00376B17"/>
    <w:rsid w:val="0038121A"/>
    <w:rsid w:val="00381A3E"/>
    <w:rsid w:val="00383673"/>
    <w:rsid w:val="00385C87"/>
    <w:rsid w:val="003903F7"/>
    <w:rsid w:val="00393DA9"/>
    <w:rsid w:val="00396475"/>
    <w:rsid w:val="003A577E"/>
    <w:rsid w:val="003B1432"/>
    <w:rsid w:val="003B27D4"/>
    <w:rsid w:val="003B2FE1"/>
    <w:rsid w:val="003B4354"/>
    <w:rsid w:val="003C3401"/>
    <w:rsid w:val="003C7CC7"/>
    <w:rsid w:val="003D16C8"/>
    <w:rsid w:val="003D527C"/>
    <w:rsid w:val="003E269F"/>
    <w:rsid w:val="003E4997"/>
    <w:rsid w:val="003F0F08"/>
    <w:rsid w:val="003F18C1"/>
    <w:rsid w:val="003F3B1A"/>
    <w:rsid w:val="00415A62"/>
    <w:rsid w:val="00417A4F"/>
    <w:rsid w:val="00432166"/>
    <w:rsid w:val="00437385"/>
    <w:rsid w:val="00441D22"/>
    <w:rsid w:val="0044328E"/>
    <w:rsid w:val="00451565"/>
    <w:rsid w:val="00453F0D"/>
    <w:rsid w:val="00465817"/>
    <w:rsid w:val="00466A2B"/>
    <w:rsid w:val="00473974"/>
    <w:rsid w:val="00476A59"/>
    <w:rsid w:val="00480866"/>
    <w:rsid w:val="00487D6A"/>
    <w:rsid w:val="00492BF1"/>
    <w:rsid w:val="004938B2"/>
    <w:rsid w:val="004C1D0B"/>
    <w:rsid w:val="004D207A"/>
    <w:rsid w:val="004D4B1E"/>
    <w:rsid w:val="004E0714"/>
    <w:rsid w:val="004E188D"/>
    <w:rsid w:val="004E6A42"/>
    <w:rsid w:val="005250D0"/>
    <w:rsid w:val="00527409"/>
    <w:rsid w:val="00534E88"/>
    <w:rsid w:val="00553E17"/>
    <w:rsid w:val="005610C8"/>
    <w:rsid w:val="0056162C"/>
    <w:rsid w:val="005624DF"/>
    <w:rsid w:val="00582505"/>
    <w:rsid w:val="00590830"/>
    <w:rsid w:val="00591235"/>
    <w:rsid w:val="005B6A3B"/>
    <w:rsid w:val="005B6A5B"/>
    <w:rsid w:val="005E02B8"/>
    <w:rsid w:val="005E2CFB"/>
    <w:rsid w:val="005E2D71"/>
    <w:rsid w:val="005F0DC1"/>
    <w:rsid w:val="0060460D"/>
    <w:rsid w:val="0061190B"/>
    <w:rsid w:val="006174A9"/>
    <w:rsid w:val="0061783D"/>
    <w:rsid w:val="00621B69"/>
    <w:rsid w:val="00630847"/>
    <w:rsid w:val="00631A81"/>
    <w:rsid w:val="00632A91"/>
    <w:rsid w:val="0063705A"/>
    <w:rsid w:val="006436CD"/>
    <w:rsid w:val="00644D1A"/>
    <w:rsid w:val="0065771C"/>
    <w:rsid w:val="006620A3"/>
    <w:rsid w:val="00662F02"/>
    <w:rsid w:val="00664F50"/>
    <w:rsid w:val="006705C6"/>
    <w:rsid w:val="006721D2"/>
    <w:rsid w:val="00675833"/>
    <w:rsid w:val="00685D2A"/>
    <w:rsid w:val="00687B45"/>
    <w:rsid w:val="006900A3"/>
    <w:rsid w:val="00695EB0"/>
    <w:rsid w:val="006A7FAC"/>
    <w:rsid w:val="006C1E67"/>
    <w:rsid w:val="006C7C8C"/>
    <w:rsid w:val="006D6332"/>
    <w:rsid w:val="006E0745"/>
    <w:rsid w:val="006E0F3B"/>
    <w:rsid w:val="006E574D"/>
    <w:rsid w:val="006E7FEB"/>
    <w:rsid w:val="006F44ED"/>
    <w:rsid w:val="006F60AA"/>
    <w:rsid w:val="006F610D"/>
    <w:rsid w:val="006F648D"/>
    <w:rsid w:val="00707A02"/>
    <w:rsid w:val="00710E01"/>
    <w:rsid w:val="00716A5C"/>
    <w:rsid w:val="00735902"/>
    <w:rsid w:val="00736E07"/>
    <w:rsid w:val="00742D38"/>
    <w:rsid w:val="00746317"/>
    <w:rsid w:val="0074662F"/>
    <w:rsid w:val="00752549"/>
    <w:rsid w:val="0077688D"/>
    <w:rsid w:val="007778AB"/>
    <w:rsid w:val="0078533A"/>
    <w:rsid w:val="00796401"/>
    <w:rsid w:val="00796D22"/>
    <w:rsid w:val="007A0C76"/>
    <w:rsid w:val="007A27C4"/>
    <w:rsid w:val="007A38CD"/>
    <w:rsid w:val="007A3E2D"/>
    <w:rsid w:val="007A484A"/>
    <w:rsid w:val="007A68DF"/>
    <w:rsid w:val="007A72CA"/>
    <w:rsid w:val="007C2AA0"/>
    <w:rsid w:val="007E3267"/>
    <w:rsid w:val="007E5133"/>
    <w:rsid w:val="007F48D9"/>
    <w:rsid w:val="007F5727"/>
    <w:rsid w:val="007F6941"/>
    <w:rsid w:val="00804E39"/>
    <w:rsid w:val="00806634"/>
    <w:rsid w:val="00807931"/>
    <w:rsid w:val="00811C18"/>
    <w:rsid w:val="00813CCB"/>
    <w:rsid w:val="00815C70"/>
    <w:rsid w:val="00822168"/>
    <w:rsid w:val="00836657"/>
    <w:rsid w:val="00842D4F"/>
    <w:rsid w:val="00846504"/>
    <w:rsid w:val="00852505"/>
    <w:rsid w:val="008535EE"/>
    <w:rsid w:val="008540B7"/>
    <w:rsid w:val="00855620"/>
    <w:rsid w:val="00861590"/>
    <w:rsid w:val="00861C03"/>
    <w:rsid w:val="00863E89"/>
    <w:rsid w:val="008673CF"/>
    <w:rsid w:val="008674AD"/>
    <w:rsid w:val="008709F0"/>
    <w:rsid w:val="00872523"/>
    <w:rsid w:val="0087310C"/>
    <w:rsid w:val="00875DE3"/>
    <w:rsid w:val="00886778"/>
    <w:rsid w:val="00886881"/>
    <w:rsid w:val="0089073D"/>
    <w:rsid w:val="008A3221"/>
    <w:rsid w:val="008A5510"/>
    <w:rsid w:val="008B0EEC"/>
    <w:rsid w:val="008C2CFA"/>
    <w:rsid w:val="008C7F8F"/>
    <w:rsid w:val="008E0D9C"/>
    <w:rsid w:val="008E1016"/>
    <w:rsid w:val="008E29F3"/>
    <w:rsid w:val="008E46B0"/>
    <w:rsid w:val="008F029B"/>
    <w:rsid w:val="008F7937"/>
    <w:rsid w:val="00902037"/>
    <w:rsid w:val="0091428C"/>
    <w:rsid w:val="0092261B"/>
    <w:rsid w:val="00923670"/>
    <w:rsid w:val="0092565C"/>
    <w:rsid w:val="00927A9E"/>
    <w:rsid w:val="009334AC"/>
    <w:rsid w:val="00936610"/>
    <w:rsid w:val="00946279"/>
    <w:rsid w:val="009604C5"/>
    <w:rsid w:val="009621F7"/>
    <w:rsid w:val="00973309"/>
    <w:rsid w:val="00976D89"/>
    <w:rsid w:val="00980FC0"/>
    <w:rsid w:val="0098339C"/>
    <w:rsid w:val="00987EFF"/>
    <w:rsid w:val="00991339"/>
    <w:rsid w:val="00995F67"/>
    <w:rsid w:val="009B0F8C"/>
    <w:rsid w:val="009B63F1"/>
    <w:rsid w:val="009C41A7"/>
    <w:rsid w:val="009C7DF2"/>
    <w:rsid w:val="009D2993"/>
    <w:rsid w:val="009D4129"/>
    <w:rsid w:val="009D6629"/>
    <w:rsid w:val="009E5B63"/>
    <w:rsid w:val="009E7700"/>
    <w:rsid w:val="009F0B25"/>
    <w:rsid w:val="009F4822"/>
    <w:rsid w:val="00A034FE"/>
    <w:rsid w:val="00A05C40"/>
    <w:rsid w:val="00A062EC"/>
    <w:rsid w:val="00A0698F"/>
    <w:rsid w:val="00A10FF2"/>
    <w:rsid w:val="00A2505E"/>
    <w:rsid w:val="00A278A4"/>
    <w:rsid w:val="00A326BA"/>
    <w:rsid w:val="00A36DAA"/>
    <w:rsid w:val="00A37F0D"/>
    <w:rsid w:val="00A4196F"/>
    <w:rsid w:val="00A44D82"/>
    <w:rsid w:val="00A45CF3"/>
    <w:rsid w:val="00A469F8"/>
    <w:rsid w:val="00A510CA"/>
    <w:rsid w:val="00A542BE"/>
    <w:rsid w:val="00A55E81"/>
    <w:rsid w:val="00A612A2"/>
    <w:rsid w:val="00A61701"/>
    <w:rsid w:val="00A656B8"/>
    <w:rsid w:val="00A6715E"/>
    <w:rsid w:val="00A70C36"/>
    <w:rsid w:val="00A7429C"/>
    <w:rsid w:val="00A82784"/>
    <w:rsid w:val="00A82EAB"/>
    <w:rsid w:val="00A84D7B"/>
    <w:rsid w:val="00A85DF7"/>
    <w:rsid w:val="00A91E64"/>
    <w:rsid w:val="00A95B9B"/>
    <w:rsid w:val="00AA60FD"/>
    <w:rsid w:val="00AA6ED7"/>
    <w:rsid w:val="00AB61CA"/>
    <w:rsid w:val="00AC0A70"/>
    <w:rsid w:val="00AC1F2E"/>
    <w:rsid w:val="00AC2AF0"/>
    <w:rsid w:val="00AC2EFB"/>
    <w:rsid w:val="00AC3F19"/>
    <w:rsid w:val="00AC423F"/>
    <w:rsid w:val="00AC54C2"/>
    <w:rsid w:val="00AD18E8"/>
    <w:rsid w:val="00AE1DD6"/>
    <w:rsid w:val="00AE7019"/>
    <w:rsid w:val="00AF1BA6"/>
    <w:rsid w:val="00AF45C4"/>
    <w:rsid w:val="00AF743E"/>
    <w:rsid w:val="00B01F8C"/>
    <w:rsid w:val="00B05623"/>
    <w:rsid w:val="00B21C63"/>
    <w:rsid w:val="00B23A9B"/>
    <w:rsid w:val="00B2606A"/>
    <w:rsid w:val="00B33EF5"/>
    <w:rsid w:val="00B34A37"/>
    <w:rsid w:val="00B40D8F"/>
    <w:rsid w:val="00B41FCE"/>
    <w:rsid w:val="00B43E0C"/>
    <w:rsid w:val="00B470A8"/>
    <w:rsid w:val="00B52C45"/>
    <w:rsid w:val="00B557FB"/>
    <w:rsid w:val="00B605FB"/>
    <w:rsid w:val="00B6388D"/>
    <w:rsid w:val="00B63C3F"/>
    <w:rsid w:val="00B65193"/>
    <w:rsid w:val="00B67912"/>
    <w:rsid w:val="00B71025"/>
    <w:rsid w:val="00B74DC9"/>
    <w:rsid w:val="00B87B91"/>
    <w:rsid w:val="00BA364F"/>
    <w:rsid w:val="00BA4249"/>
    <w:rsid w:val="00BA74CB"/>
    <w:rsid w:val="00BB7680"/>
    <w:rsid w:val="00BD0CDD"/>
    <w:rsid w:val="00BE272F"/>
    <w:rsid w:val="00BE5191"/>
    <w:rsid w:val="00BE5737"/>
    <w:rsid w:val="00BE6975"/>
    <w:rsid w:val="00C15C63"/>
    <w:rsid w:val="00C3304A"/>
    <w:rsid w:val="00C371CE"/>
    <w:rsid w:val="00C37BB6"/>
    <w:rsid w:val="00C409D2"/>
    <w:rsid w:val="00C4146A"/>
    <w:rsid w:val="00C529FB"/>
    <w:rsid w:val="00C61B20"/>
    <w:rsid w:val="00C66F48"/>
    <w:rsid w:val="00C82F61"/>
    <w:rsid w:val="00C87F1C"/>
    <w:rsid w:val="00C91B23"/>
    <w:rsid w:val="00C941E8"/>
    <w:rsid w:val="00C96548"/>
    <w:rsid w:val="00CA4130"/>
    <w:rsid w:val="00CB13C3"/>
    <w:rsid w:val="00CC445D"/>
    <w:rsid w:val="00CC6009"/>
    <w:rsid w:val="00CE2562"/>
    <w:rsid w:val="00CE45D0"/>
    <w:rsid w:val="00CF1DBA"/>
    <w:rsid w:val="00D11F23"/>
    <w:rsid w:val="00D13536"/>
    <w:rsid w:val="00D15164"/>
    <w:rsid w:val="00D17955"/>
    <w:rsid w:val="00D234B7"/>
    <w:rsid w:val="00D2382D"/>
    <w:rsid w:val="00D323B3"/>
    <w:rsid w:val="00D40723"/>
    <w:rsid w:val="00D43493"/>
    <w:rsid w:val="00D5036C"/>
    <w:rsid w:val="00D5659A"/>
    <w:rsid w:val="00D66B6E"/>
    <w:rsid w:val="00D70B3B"/>
    <w:rsid w:val="00D723CC"/>
    <w:rsid w:val="00D811FC"/>
    <w:rsid w:val="00D83E20"/>
    <w:rsid w:val="00D85188"/>
    <w:rsid w:val="00D9786E"/>
    <w:rsid w:val="00DA1E7F"/>
    <w:rsid w:val="00DA30B7"/>
    <w:rsid w:val="00DB25A2"/>
    <w:rsid w:val="00DB67E1"/>
    <w:rsid w:val="00DC0BF4"/>
    <w:rsid w:val="00DC5A9C"/>
    <w:rsid w:val="00DC5F53"/>
    <w:rsid w:val="00DD1A1D"/>
    <w:rsid w:val="00DD519F"/>
    <w:rsid w:val="00DE1DFC"/>
    <w:rsid w:val="00DE5CB0"/>
    <w:rsid w:val="00DE5E7A"/>
    <w:rsid w:val="00DE6489"/>
    <w:rsid w:val="00DF1CEE"/>
    <w:rsid w:val="00DF38B1"/>
    <w:rsid w:val="00DF7267"/>
    <w:rsid w:val="00DF73F3"/>
    <w:rsid w:val="00E13DE9"/>
    <w:rsid w:val="00E33CCA"/>
    <w:rsid w:val="00E34C21"/>
    <w:rsid w:val="00E35F89"/>
    <w:rsid w:val="00E4035A"/>
    <w:rsid w:val="00E45AB6"/>
    <w:rsid w:val="00E57F10"/>
    <w:rsid w:val="00E6187C"/>
    <w:rsid w:val="00E6692B"/>
    <w:rsid w:val="00E70C94"/>
    <w:rsid w:val="00E763A9"/>
    <w:rsid w:val="00E811E6"/>
    <w:rsid w:val="00E863E3"/>
    <w:rsid w:val="00E87BB4"/>
    <w:rsid w:val="00E96AAD"/>
    <w:rsid w:val="00EC08AD"/>
    <w:rsid w:val="00EC2C3B"/>
    <w:rsid w:val="00EC464C"/>
    <w:rsid w:val="00EC7101"/>
    <w:rsid w:val="00ED5AF8"/>
    <w:rsid w:val="00EE0378"/>
    <w:rsid w:val="00EE2AEA"/>
    <w:rsid w:val="00EF22E7"/>
    <w:rsid w:val="00F0182F"/>
    <w:rsid w:val="00F13A1E"/>
    <w:rsid w:val="00F14854"/>
    <w:rsid w:val="00F149F5"/>
    <w:rsid w:val="00F251D3"/>
    <w:rsid w:val="00F26175"/>
    <w:rsid w:val="00F27923"/>
    <w:rsid w:val="00F326FF"/>
    <w:rsid w:val="00F34EF2"/>
    <w:rsid w:val="00F46158"/>
    <w:rsid w:val="00F70D37"/>
    <w:rsid w:val="00F7553C"/>
    <w:rsid w:val="00F81CF0"/>
    <w:rsid w:val="00F86090"/>
    <w:rsid w:val="00F90DA1"/>
    <w:rsid w:val="00F932EC"/>
    <w:rsid w:val="00F96050"/>
    <w:rsid w:val="00FA0C0F"/>
    <w:rsid w:val="00FA2078"/>
    <w:rsid w:val="00FA4A70"/>
    <w:rsid w:val="00FA6EA4"/>
    <w:rsid w:val="00FC03D3"/>
    <w:rsid w:val="00FC3A06"/>
    <w:rsid w:val="00FC7A04"/>
    <w:rsid w:val="00FD100E"/>
    <w:rsid w:val="00FD2C11"/>
    <w:rsid w:val="00FD3C13"/>
    <w:rsid w:val="00FD41F0"/>
    <w:rsid w:val="00FE62A2"/>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93"/>
    <w:rPr>
      <w:sz w:val="24"/>
      <w:szCs w:val="24"/>
    </w:rPr>
  </w:style>
  <w:style w:type="paragraph" w:styleId="Heading5">
    <w:name w:val="heading 5"/>
    <w:basedOn w:val="Normal"/>
    <w:next w:val="Normal"/>
    <w:link w:val="Heading5Char"/>
    <w:unhideWhenUsed/>
    <w:qFormat/>
    <w:rsid w:val="00631A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15C70"/>
    <w:pPr>
      <w:framePr w:w="7920" w:h="1980" w:hRule="exact" w:hSpace="180" w:wrap="auto" w:hAnchor="page" w:xAlign="center" w:yAlign="bottom"/>
      <w:ind w:left="2880"/>
    </w:pPr>
    <w:rPr>
      <w:rFonts w:cs="Arial"/>
    </w:rPr>
  </w:style>
  <w:style w:type="character" w:styleId="Hyperlink">
    <w:name w:val="Hyperlink"/>
    <w:basedOn w:val="DefaultParagraphFont"/>
    <w:rsid w:val="00010146"/>
    <w:rPr>
      <w:color w:val="0000FF"/>
      <w:u w:val="single"/>
    </w:rPr>
  </w:style>
  <w:style w:type="paragraph" w:styleId="E-mailSignature">
    <w:name w:val="E-mail Signature"/>
    <w:basedOn w:val="Normal"/>
    <w:rsid w:val="00010146"/>
  </w:style>
  <w:style w:type="paragraph" w:styleId="Header">
    <w:name w:val="header"/>
    <w:basedOn w:val="Normal"/>
    <w:rsid w:val="000B5499"/>
    <w:pPr>
      <w:tabs>
        <w:tab w:val="center" w:pos="4320"/>
        <w:tab w:val="right" w:pos="8640"/>
      </w:tabs>
    </w:pPr>
  </w:style>
  <w:style w:type="paragraph" w:styleId="Footer">
    <w:name w:val="footer"/>
    <w:basedOn w:val="Normal"/>
    <w:rsid w:val="000B5499"/>
    <w:pPr>
      <w:tabs>
        <w:tab w:val="center" w:pos="4320"/>
        <w:tab w:val="right" w:pos="8640"/>
      </w:tabs>
    </w:pPr>
  </w:style>
  <w:style w:type="character" w:styleId="PageNumber">
    <w:name w:val="page number"/>
    <w:basedOn w:val="DefaultParagraphFont"/>
    <w:rsid w:val="000B5499"/>
  </w:style>
  <w:style w:type="paragraph" w:customStyle="1" w:styleId="Default">
    <w:name w:val="Default"/>
    <w:rsid w:val="00AC1F2E"/>
    <w:pPr>
      <w:autoSpaceDE w:val="0"/>
      <w:autoSpaceDN w:val="0"/>
      <w:adjustRightInd w:val="0"/>
    </w:pPr>
    <w:rPr>
      <w:color w:val="000000"/>
      <w:sz w:val="24"/>
      <w:szCs w:val="24"/>
    </w:rPr>
  </w:style>
  <w:style w:type="paragraph" w:styleId="BalloonText">
    <w:name w:val="Balloon Text"/>
    <w:basedOn w:val="Normal"/>
    <w:link w:val="BalloonTextChar"/>
    <w:rsid w:val="00621B69"/>
    <w:rPr>
      <w:rFonts w:ascii="Tahoma" w:hAnsi="Tahoma" w:cs="Tahoma"/>
      <w:sz w:val="16"/>
      <w:szCs w:val="16"/>
    </w:rPr>
  </w:style>
  <w:style w:type="character" w:customStyle="1" w:styleId="BalloonTextChar">
    <w:name w:val="Balloon Text Char"/>
    <w:basedOn w:val="DefaultParagraphFont"/>
    <w:link w:val="BalloonText"/>
    <w:rsid w:val="00621B69"/>
    <w:rPr>
      <w:rFonts w:ascii="Tahoma" w:hAnsi="Tahoma" w:cs="Tahoma"/>
      <w:sz w:val="16"/>
      <w:szCs w:val="16"/>
    </w:rPr>
  </w:style>
  <w:style w:type="table" w:styleId="TableGrid">
    <w:name w:val="Table Grid"/>
    <w:basedOn w:val="TableNormal"/>
    <w:rsid w:val="00143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924C7"/>
    <w:rPr>
      <w:sz w:val="16"/>
      <w:szCs w:val="16"/>
    </w:rPr>
  </w:style>
  <w:style w:type="paragraph" w:styleId="CommentText">
    <w:name w:val="annotation text"/>
    <w:basedOn w:val="Normal"/>
    <w:link w:val="CommentTextChar"/>
    <w:rsid w:val="002924C7"/>
    <w:rPr>
      <w:sz w:val="20"/>
      <w:szCs w:val="20"/>
    </w:rPr>
  </w:style>
  <w:style w:type="character" w:customStyle="1" w:styleId="CommentTextChar">
    <w:name w:val="Comment Text Char"/>
    <w:basedOn w:val="DefaultParagraphFont"/>
    <w:link w:val="CommentText"/>
    <w:rsid w:val="002924C7"/>
  </w:style>
  <w:style w:type="paragraph" w:styleId="CommentSubject">
    <w:name w:val="annotation subject"/>
    <w:basedOn w:val="CommentText"/>
    <w:next w:val="CommentText"/>
    <w:link w:val="CommentSubjectChar"/>
    <w:rsid w:val="002924C7"/>
    <w:rPr>
      <w:b/>
      <w:bCs/>
    </w:rPr>
  </w:style>
  <w:style w:type="character" w:customStyle="1" w:styleId="CommentSubjectChar">
    <w:name w:val="Comment Subject Char"/>
    <w:basedOn w:val="CommentTextChar"/>
    <w:link w:val="CommentSubject"/>
    <w:rsid w:val="002924C7"/>
    <w:rPr>
      <w:b/>
      <w:bCs/>
    </w:rPr>
  </w:style>
  <w:style w:type="paragraph" w:styleId="Revision">
    <w:name w:val="Revision"/>
    <w:hidden/>
    <w:uiPriority w:val="99"/>
    <w:semiHidden/>
    <w:rsid w:val="0021710C"/>
    <w:rPr>
      <w:sz w:val="24"/>
      <w:szCs w:val="24"/>
    </w:rPr>
  </w:style>
  <w:style w:type="character" w:customStyle="1" w:styleId="Heading5Char">
    <w:name w:val="Heading 5 Char"/>
    <w:basedOn w:val="DefaultParagraphFont"/>
    <w:link w:val="Heading5"/>
    <w:rsid w:val="00631A81"/>
    <w:rPr>
      <w:rFonts w:ascii="Calibri" w:hAnsi="Calibri"/>
      <w:b/>
      <w:bCs/>
      <w:i/>
      <w:iCs/>
      <w:sz w:val="26"/>
      <w:szCs w:val="26"/>
    </w:rPr>
  </w:style>
  <w:style w:type="paragraph" w:styleId="BodyText2">
    <w:name w:val="Body Text 2"/>
    <w:basedOn w:val="Normal"/>
    <w:link w:val="BodyText2Char"/>
    <w:rsid w:val="00631A81"/>
    <w:pPr>
      <w:spacing w:after="120" w:line="480" w:lineRule="auto"/>
    </w:pPr>
    <w:rPr>
      <w:rFonts w:ascii="Arial" w:hAnsi="Arial"/>
      <w:szCs w:val="20"/>
    </w:rPr>
  </w:style>
  <w:style w:type="character" w:customStyle="1" w:styleId="BodyText2Char">
    <w:name w:val="Body Text 2 Char"/>
    <w:basedOn w:val="DefaultParagraphFont"/>
    <w:link w:val="BodyText2"/>
    <w:rsid w:val="00631A81"/>
    <w:rPr>
      <w:rFonts w:ascii="Arial" w:hAnsi="Arial"/>
      <w:sz w:val="24"/>
    </w:rPr>
  </w:style>
  <w:style w:type="character" w:styleId="Emphasis">
    <w:name w:val="Emphasis"/>
    <w:basedOn w:val="DefaultParagraphFont"/>
    <w:uiPriority w:val="20"/>
    <w:qFormat/>
    <w:rsid w:val="00631A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069">
      <w:bodyDiv w:val="1"/>
      <w:marLeft w:val="0"/>
      <w:marRight w:val="0"/>
      <w:marTop w:val="0"/>
      <w:marBottom w:val="0"/>
      <w:divBdr>
        <w:top w:val="none" w:sz="0" w:space="0" w:color="auto"/>
        <w:left w:val="none" w:sz="0" w:space="0" w:color="auto"/>
        <w:bottom w:val="none" w:sz="0" w:space="0" w:color="auto"/>
        <w:right w:val="none" w:sz="0" w:space="0" w:color="auto"/>
      </w:divBdr>
      <w:divsChild>
        <w:div w:id="46786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8778-541B-417A-BC3B-5DCE230E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Overview and Map</vt:lpstr>
    </vt:vector>
  </TitlesOfParts>
  <Company>STV Incorporated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and Map</dc:title>
  <dc:creator>David Marcus</dc:creator>
  <cp:lastModifiedBy>Lewis Ames</cp:lastModifiedBy>
  <cp:revision>7</cp:revision>
  <cp:lastPrinted>2014-01-17T02:11:00Z</cp:lastPrinted>
  <dcterms:created xsi:type="dcterms:W3CDTF">2014-01-09T20:00:00Z</dcterms:created>
  <dcterms:modified xsi:type="dcterms:W3CDTF">2014-03-05T22:22:00Z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